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7ED87" w14:textId="727D6B94" w:rsidR="00A23DE6" w:rsidRDefault="00A23DE6" w:rsidP="00A23DE6">
      <w:pPr>
        <w:snapToGrid w:val="0"/>
        <w:spacing w:line="520" w:lineRule="exact"/>
        <w:jc w:val="left"/>
        <w:rPr>
          <w:rFonts w:ascii="黑体" w:eastAsia="黑体" w:hAnsi="黑体" w:cs="Times New Roman" w:hint="eastAsia"/>
          <w:spacing w:val="-8"/>
          <w:sz w:val="32"/>
          <w:szCs w:val="32"/>
        </w:rPr>
      </w:pPr>
      <w:r w:rsidRPr="00561663">
        <w:rPr>
          <w:rFonts w:ascii="黑体" w:eastAsia="黑体" w:hAnsi="黑体" w:cs="Times New Roman" w:hint="eastAsia"/>
          <w:spacing w:val="-8"/>
          <w:sz w:val="32"/>
          <w:szCs w:val="32"/>
        </w:rPr>
        <w:t>附件</w:t>
      </w:r>
      <w:r>
        <w:rPr>
          <w:rFonts w:ascii="黑体" w:eastAsia="黑体" w:hAnsi="黑体" w:cs="Times New Roman" w:hint="eastAsia"/>
          <w:spacing w:val="-8"/>
          <w:sz w:val="32"/>
          <w:szCs w:val="32"/>
        </w:rPr>
        <w:t>1</w:t>
      </w:r>
    </w:p>
    <w:p w14:paraId="4FD00FAF" w14:textId="77777777" w:rsidR="00A23DE6" w:rsidRPr="00561663" w:rsidRDefault="00A23DE6" w:rsidP="00A23DE6">
      <w:pPr>
        <w:snapToGrid w:val="0"/>
        <w:spacing w:line="520" w:lineRule="exact"/>
        <w:jc w:val="left"/>
        <w:rPr>
          <w:rFonts w:ascii="黑体" w:eastAsia="黑体" w:hAnsi="黑体" w:cs="Times New Roman" w:hint="eastAsia"/>
          <w:spacing w:val="-8"/>
          <w:sz w:val="32"/>
          <w:szCs w:val="32"/>
        </w:rPr>
      </w:pPr>
    </w:p>
    <w:p w14:paraId="45900836" w14:textId="77777777" w:rsidR="00A23DE6" w:rsidRDefault="00A23DE6" w:rsidP="00A23DE6">
      <w:pPr>
        <w:adjustRightInd w:val="0"/>
        <w:snapToGrid w:val="0"/>
        <w:spacing w:line="520" w:lineRule="exact"/>
        <w:jc w:val="center"/>
        <w:rPr>
          <w:rFonts w:ascii="Times New Roman" w:eastAsia="方正小标宋简体" w:hAnsi="Times New Roman" w:cs="Times New Roman"/>
          <w:spacing w:val="-8"/>
          <w:sz w:val="44"/>
          <w:szCs w:val="44"/>
        </w:rPr>
      </w:pPr>
      <w:r w:rsidRPr="00A23DE6">
        <w:rPr>
          <w:rFonts w:ascii="Times New Roman" w:eastAsia="方正小标宋简体" w:hAnsi="Times New Roman" w:cs="Times New Roman" w:hint="eastAsia"/>
          <w:spacing w:val="-8"/>
          <w:sz w:val="44"/>
          <w:szCs w:val="44"/>
        </w:rPr>
        <w:t>大模型与生成式人工智能医疗器械</w:t>
      </w:r>
    </w:p>
    <w:p w14:paraId="3EEDBB62" w14:textId="117941D9" w:rsidR="00A23DE6" w:rsidRDefault="00A23DE6" w:rsidP="00A23DE6">
      <w:pPr>
        <w:adjustRightInd w:val="0"/>
        <w:snapToGrid w:val="0"/>
        <w:spacing w:line="520" w:lineRule="exact"/>
        <w:jc w:val="center"/>
        <w:rPr>
          <w:rFonts w:ascii="Times New Roman" w:eastAsia="方正小标宋简体" w:hAnsi="Times New Roman" w:cs="Times New Roman"/>
          <w:color w:val="000000"/>
          <w:sz w:val="44"/>
          <w:szCs w:val="44"/>
        </w:rPr>
      </w:pPr>
      <w:r w:rsidRPr="00A23DE6">
        <w:rPr>
          <w:rFonts w:ascii="Times New Roman" w:eastAsia="方正小标宋简体" w:hAnsi="Times New Roman" w:cs="Times New Roman" w:hint="eastAsia"/>
          <w:spacing w:val="-8"/>
          <w:sz w:val="44"/>
          <w:szCs w:val="44"/>
        </w:rPr>
        <w:t>性能评价指导原则（</w:t>
      </w:r>
      <w:r w:rsidR="007E7B51" w:rsidRPr="007E7B51">
        <w:rPr>
          <w:rFonts w:ascii="Times New Roman" w:eastAsia="方正小标宋简体" w:hAnsi="Times New Roman" w:cs="Times New Roman"/>
          <w:spacing w:val="-8"/>
          <w:sz w:val="44"/>
          <w:szCs w:val="44"/>
        </w:rPr>
        <w:t>征求意见稿</w:t>
      </w:r>
      <w:r w:rsidRPr="00A23DE6">
        <w:rPr>
          <w:rFonts w:ascii="Times New Roman" w:eastAsia="方正小标宋简体" w:hAnsi="Times New Roman" w:cs="Times New Roman" w:hint="eastAsia"/>
          <w:spacing w:val="-8"/>
          <w:sz w:val="44"/>
          <w:szCs w:val="44"/>
        </w:rPr>
        <w:t>）</w:t>
      </w:r>
    </w:p>
    <w:p w14:paraId="5366C71D" w14:textId="77777777" w:rsidR="00A23DE6" w:rsidRDefault="00A23DE6" w:rsidP="00A23DE6">
      <w:pPr>
        <w:spacing w:line="520" w:lineRule="exact"/>
        <w:ind w:firstLineChars="200" w:firstLine="640"/>
        <w:rPr>
          <w:rFonts w:ascii="仿宋_GB2312" w:eastAsia="仿宋_GB2312" w:hint="eastAsia"/>
          <w:sz w:val="32"/>
          <w:szCs w:val="32"/>
        </w:rPr>
      </w:pPr>
    </w:p>
    <w:p w14:paraId="1D1A608D" w14:textId="6458A711" w:rsidR="00A23DE6" w:rsidRPr="00A23DE6" w:rsidRDefault="00A23DE6" w:rsidP="00A23DE6">
      <w:pPr>
        <w:spacing w:line="520" w:lineRule="exact"/>
        <w:ind w:firstLineChars="200" w:firstLine="640"/>
        <w:rPr>
          <w:rFonts w:ascii="仿宋_GB2312" w:eastAsia="仿宋_GB2312" w:hint="eastAsia"/>
          <w:sz w:val="32"/>
          <w:szCs w:val="32"/>
        </w:rPr>
      </w:pPr>
      <w:r w:rsidRPr="00A23DE6">
        <w:rPr>
          <w:rFonts w:ascii="仿宋_GB2312" w:eastAsia="仿宋_GB2312" w:hint="eastAsia"/>
          <w:sz w:val="32"/>
          <w:szCs w:val="32"/>
        </w:rPr>
        <w:t>本指导原则旨在指导注册申请人开展相关医疗器械性能评价资料的准备，同时为技术审评部门提供参考。</w:t>
      </w:r>
    </w:p>
    <w:p w14:paraId="17F6D106" w14:textId="77777777" w:rsidR="00A23DE6" w:rsidRPr="00A23DE6" w:rsidRDefault="00A23DE6" w:rsidP="00A23DE6">
      <w:pPr>
        <w:spacing w:line="520" w:lineRule="exact"/>
        <w:ind w:firstLineChars="200" w:firstLine="640"/>
        <w:rPr>
          <w:rFonts w:ascii="仿宋_GB2312" w:eastAsia="仿宋_GB2312" w:hint="eastAsia"/>
          <w:sz w:val="32"/>
          <w:szCs w:val="32"/>
        </w:rPr>
      </w:pPr>
      <w:r w:rsidRPr="00A23DE6">
        <w:rPr>
          <w:rFonts w:ascii="仿宋_GB2312" w:eastAsia="仿宋_GB2312" w:hint="eastAsia"/>
          <w:sz w:val="32"/>
          <w:szCs w:val="32"/>
        </w:rPr>
        <w:t>本指导原则是对相关产品评价的一般要求。申请人应依据产品具体特征确定其中内容是否适用；若不适用，应具体阐述理由并提供相应科学依据，并依据产品具体特征对研究资料予以充实和细化。</w:t>
      </w:r>
    </w:p>
    <w:p w14:paraId="72BD97D0" w14:textId="77777777" w:rsidR="00A23DE6" w:rsidRPr="00A23DE6" w:rsidRDefault="00A23DE6" w:rsidP="00A23DE6">
      <w:pPr>
        <w:spacing w:line="520" w:lineRule="exact"/>
        <w:ind w:firstLineChars="200" w:firstLine="640"/>
        <w:rPr>
          <w:rFonts w:ascii="仿宋_GB2312" w:eastAsia="仿宋_GB2312" w:hint="eastAsia"/>
          <w:sz w:val="32"/>
          <w:szCs w:val="32"/>
        </w:rPr>
      </w:pPr>
      <w:r w:rsidRPr="00A23DE6">
        <w:rPr>
          <w:rFonts w:ascii="仿宋_GB2312" w:eastAsia="仿宋_GB2312" w:hint="eastAsia"/>
          <w:sz w:val="32"/>
          <w:szCs w:val="32"/>
        </w:rPr>
        <w:t>本指导原则是供注册申请人和技术审评人员使用的指导性文件，不包括审评审批所涉及的行政事项，亦不作为法规强制执行，应在遵循相关法规的前提下使用。本指导原则提出的评价方法并非唯一可接受的方法；如采用其他方法，应提供充分的科学论证和验证确认资料。</w:t>
      </w:r>
    </w:p>
    <w:p w14:paraId="4FC7458D" w14:textId="3D6207D1" w:rsidR="00A23DE6" w:rsidRDefault="00A23DE6" w:rsidP="00A23DE6">
      <w:pPr>
        <w:spacing w:line="520" w:lineRule="exact"/>
        <w:ind w:firstLineChars="200" w:firstLine="640"/>
        <w:rPr>
          <w:rFonts w:ascii="仿宋_GB2312" w:eastAsia="仿宋_GB2312" w:hint="eastAsia"/>
          <w:sz w:val="32"/>
          <w:szCs w:val="32"/>
        </w:rPr>
      </w:pPr>
      <w:r w:rsidRPr="00A23DE6">
        <w:rPr>
          <w:rFonts w:ascii="仿宋_GB2312" w:eastAsia="仿宋_GB2312" w:hint="eastAsia"/>
          <w:sz w:val="32"/>
          <w:szCs w:val="32"/>
        </w:rPr>
        <w:t>本指导原则基于现行法规、标准体系和当前科学认知制定。随着法规和标准不断完善以及科学技术持续发展，相关内容将适时调整。</w:t>
      </w:r>
    </w:p>
    <w:p w14:paraId="2AC4058B" w14:textId="77777777" w:rsidR="00A23DE6" w:rsidRDefault="00A23DE6" w:rsidP="00A23DE6">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一、适用范围</w:t>
      </w:r>
    </w:p>
    <w:p w14:paraId="3A376C2F" w14:textId="188F675A" w:rsidR="00A23DE6" w:rsidRPr="00A23DE6" w:rsidRDefault="00A23DE6" w:rsidP="00A23DE6">
      <w:pPr>
        <w:adjustRightInd w:val="0"/>
        <w:snapToGrid w:val="0"/>
        <w:spacing w:line="520" w:lineRule="exact"/>
        <w:ind w:firstLineChars="200" w:firstLine="640"/>
        <w:rPr>
          <w:rFonts w:ascii="Times New Roman" w:eastAsia="仿宋_GB2312" w:hAnsi="Times New Roman" w:cs="Times New Roman"/>
          <w:sz w:val="32"/>
          <w:szCs w:val="32"/>
        </w:rPr>
      </w:pPr>
      <w:r w:rsidRPr="00A23DE6">
        <w:rPr>
          <w:rFonts w:ascii="Times New Roman" w:eastAsia="仿宋_GB2312" w:hAnsi="Times New Roman" w:cs="Times New Roman" w:hint="eastAsia"/>
          <w:sz w:val="32"/>
          <w:szCs w:val="32"/>
        </w:rPr>
        <w:t>本指导原则适用于以基础模型、大语言模型或其他生成式人工智能技术为核心或关键组成部分，处理医疗器械数据和</w:t>
      </w:r>
      <w:r w:rsidRPr="00A23DE6">
        <w:rPr>
          <w:rFonts w:ascii="Times New Roman" w:eastAsia="仿宋_GB2312" w:hAnsi="Times New Roman" w:cs="Times New Roman" w:hint="eastAsia"/>
          <w:sz w:val="32"/>
          <w:szCs w:val="32"/>
        </w:rPr>
        <w:t>/</w:t>
      </w:r>
      <w:r w:rsidRPr="00A23DE6">
        <w:rPr>
          <w:rFonts w:ascii="Times New Roman" w:eastAsia="仿宋_GB2312" w:hAnsi="Times New Roman" w:cs="Times New Roman" w:hint="eastAsia"/>
          <w:sz w:val="32"/>
          <w:szCs w:val="32"/>
        </w:rPr>
        <w:t>或与医疗用途相关数据，并输出医疗文本、结构化报告、风险提示、辅助解释、辅助建议或其他可能影响临床诊疗、监护或管理的信息的医疗器械软件，包括独立软件和软件组件。</w:t>
      </w:r>
    </w:p>
    <w:p w14:paraId="7B3E0BA1" w14:textId="77777777" w:rsidR="00A23DE6" w:rsidRPr="00A23DE6" w:rsidRDefault="00A23DE6" w:rsidP="00A23DE6">
      <w:pPr>
        <w:adjustRightInd w:val="0"/>
        <w:snapToGrid w:val="0"/>
        <w:spacing w:line="520" w:lineRule="exact"/>
        <w:ind w:firstLineChars="200" w:firstLine="640"/>
        <w:rPr>
          <w:rFonts w:ascii="Times New Roman" w:eastAsia="仿宋_GB2312" w:hAnsi="Times New Roman" w:cs="Times New Roman"/>
          <w:sz w:val="32"/>
          <w:szCs w:val="32"/>
        </w:rPr>
      </w:pPr>
      <w:r w:rsidRPr="00A23DE6">
        <w:rPr>
          <w:rFonts w:ascii="Times New Roman" w:eastAsia="仿宋_GB2312" w:hAnsi="Times New Roman" w:cs="Times New Roman" w:hint="eastAsia"/>
          <w:sz w:val="32"/>
          <w:szCs w:val="32"/>
        </w:rPr>
        <w:t>本指导原则重点适用于输出具有开放性、非确定性或依赖</w:t>
      </w:r>
      <w:r w:rsidRPr="00A23DE6">
        <w:rPr>
          <w:rFonts w:ascii="Times New Roman" w:eastAsia="仿宋_GB2312" w:hAnsi="Times New Roman" w:cs="Times New Roman" w:hint="eastAsia"/>
          <w:sz w:val="32"/>
          <w:szCs w:val="32"/>
        </w:rPr>
        <w:lastRenderedPageBreak/>
        <w:t>外部知识、工具和部署环境的产品。产品可包括病历摘要、检查报告辅助生成、医学信息归纳、临床风险提示、患者沟通材料生成和面向医务人员的临床知识问答等功能。具体是否作为医疗器械管理及其管理类别，应依据产品预期用途、处理对象、核心功能和临床风险，按照有关规定综合判定。</w:t>
      </w:r>
    </w:p>
    <w:p w14:paraId="38557654" w14:textId="77777777" w:rsidR="00A23DE6" w:rsidRDefault="00A23DE6" w:rsidP="00A23DE6">
      <w:pPr>
        <w:adjustRightInd w:val="0"/>
        <w:snapToGrid w:val="0"/>
        <w:spacing w:line="520" w:lineRule="exact"/>
        <w:ind w:firstLineChars="200" w:firstLine="640"/>
        <w:rPr>
          <w:rFonts w:ascii="Times New Roman" w:eastAsia="仿宋_GB2312" w:hAnsi="Times New Roman" w:cs="Times New Roman"/>
          <w:sz w:val="32"/>
          <w:szCs w:val="32"/>
        </w:rPr>
      </w:pPr>
      <w:r w:rsidRPr="00A23DE6">
        <w:rPr>
          <w:rFonts w:ascii="Times New Roman" w:eastAsia="仿宋_GB2312" w:hAnsi="Times New Roman" w:cs="Times New Roman" w:hint="eastAsia"/>
          <w:sz w:val="32"/>
          <w:szCs w:val="32"/>
        </w:rPr>
        <w:t>仅用于行政办公、一般科研写作、通用信息检索或健康管理，且不具有医疗用途的生成式功能，不属于本指导原则重点讨论范围。用于直接作出诊断、治疗、用药、监护等高影响临床决策的功能，除符合本指导原则有关性能评价要求外，还应根据产品特征开展相应临床评价。</w:t>
      </w:r>
    </w:p>
    <w:p w14:paraId="74B6A69C" w14:textId="06B984C4" w:rsidR="00A23DE6" w:rsidRDefault="00A23DE6" w:rsidP="00A23DE6">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二、</w:t>
      </w:r>
      <w:r w:rsidR="00514399" w:rsidRPr="00514399">
        <w:rPr>
          <w:rFonts w:ascii="Times New Roman" w:eastAsia="黑体" w:hAnsi="Times New Roman" w:cs="Times New Roman"/>
          <w:color w:val="000000"/>
          <w:sz w:val="32"/>
          <w:szCs w:val="32"/>
        </w:rPr>
        <w:t>术语和定义</w:t>
      </w:r>
    </w:p>
    <w:p w14:paraId="263DE78B" w14:textId="64B16E85" w:rsidR="00514399" w:rsidRDefault="00514399" w:rsidP="00514399">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（一）</w:t>
      </w:r>
      <w:r w:rsidRPr="00514399">
        <w:rPr>
          <w:rFonts w:ascii="Times New Roman" w:eastAsia="楷体_GB2312" w:hAnsi="Times New Roman" w:cs="Times New Roman"/>
          <w:color w:val="000000"/>
          <w:sz w:val="32"/>
          <w:szCs w:val="32"/>
        </w:rPr>
        <w:t>生成式人工智能医疗器械</w:t>
      </w:r>
    </w:p>
    <w:p w14:paraId="19F95301" w14:textId="77777777" w:rsidR="00514399" w:rsidRPr="00514399" w:rsidRDefault="00514399" w:rsidP="005143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514399">
        <w:rPr>
          <w:rFonts w:ascii="Times New Roman" w:eastAsia="仿宋_GB2312" w:hAnsi="Times New Roman" w:cs="Times New Roman" w:hint="eastAsia"/>
          <w:color w:val="000000"/>
          <w:sz w:val="32"/>
          <w:szCs w:val="32"/>
        </w:rPr>
        <w:t>指采用生成式人工智能技术，对输入数据进行理解、推理、转换或生成，输出与特定医疗用途相关信息的医疗器械软件系统。</w:t>
      </w:r>
    </w:p>
    <w:p w14:paraId="0CF2038A" w14:textId="77777777" w:rsidR="00514399" w:rsidRPr="00514399" w:rsidRDefault="00514399" w:rsidP="00514399">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514399">
        <w:rPr>
          <w:rFonts w:ascii="Times New Roman" w:eastAsia="楷体_GB2312" w:hAnsi="Times New Roman" w:cs="Times New Roman" w:hint="eastAsia"/>
          <w:color w:val="000000"/>
          <w:sz w:val="32"/>
          <w:szCs w:val="32"/>
        </w:rPr>
        <w:t>（二）生成式功能</w:t>
      </w:r>
    </w:p>
    <w:p w14:paraId="3B7E851F" w14:textId="77777777" w:rsidR="00514399" w:rsidRPr="00514399" w:rsidRDefault="00514399" w:rsidP="005143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514399">
        <w:rPr>
          <w:rFonts w:ascii="Times New Roman" w:eastAsia="仿宋_GB2312" w:hAnsi="Times New Roman" w:cs="Times New Roman" w:hint="eastAsia"/>
          <w:color w:val="000000"/>
          <w:sz w:val="32"/>
          <w:szCs w:val="32"/>
        </w:rPr>
        <w:t>指产品面向用户生成自然语言、结构化文本、图像、语音或其他内容，或者基于生成内容提供解释、风险提示和辅助建议的功能单元。</w:t>
      </w:r>
    </w:p>
    <w:p w14:paraId="7FC5D4BE" w14:textId="77777777" w:rsidR="00514399" w:rsidRPr="00514399" w:rsidRDefault="00514399" w:rsidP="00514399">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514399">
        <w:rPr>
          <w:rFonts w:ascii="Times New Roman" w:eastAsia="楷体_GB2312" w:hAnsi="Times New Roman" w:cs="Times New Roman" w:hint="eastAsia"/>
          <w:color w:val="000000"/>
          <w:sz w:val="32"/>
          <w:szCs w:val="32"/>
        </w:rPr>
        <w:t>（三）系统配置状态</w:t>
      </w:r>
    </w:p>
    <w:p w14:paraId="637F7F19" w14:textId="77777777" w:rsidR="00514399" w:rsidRPr="00514399" w:rsidRDefault="00514399" w:rsidP="005143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514399">
        <w:rPr>
          <w:rFonts w:ascii="Times New Roman" w:eastAsia="仿宋_GB2312" w:hAnsi="Times New Roman" w:cs="Times New Roman" w:hint="eastAsia"/>
          <w:color w:val="000000"/>
          <w:sz w:val="32"/>
          <w:szCs w:val="32"/>
        </w:rPr>
        <w:t>指影响生成式功能实际输出的技术要素及其版本组合，包括基础模型或专用模型、训练或微调数据、知识库或检索增强组件、提示词模板、外部工具和接口、关键参数、部署环境、网络安全组件及权限配置等。</w:t>
      </w:r>
    </w:p>
    <w:p w14:paraId="2D3BC883" w14:textId="77777777" w:rsidR="00514399" w:rsidRPr="00514399" w:rsidRDefault="00514399" w:rsidP="00514399">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514399">
        <w:rPr>
          <w:rFonts w:ascii="Times New Roman" w:eastAsia="楷体_GB2312" w:hAnsi="Times New Roman" w:cs="Times New Roman" w:hint="eastAsia"/>
          <w:color w:val="000000"/>
          <w:sz w:val="32"/>
          <w:szCs w:val="32"/>
        </w:rPr>
        <w:t>（四）医学事实一致性</w:t>
      </w:r>
    </w:p>
    <w:p w14:paraId="698808AD" w14:textId="77777777" w:rsidR="00514399" w:rsidRPr="00514399" w:rsidRDefault="00514399" w:rsidP="005143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514399">
        <w:rPr>
          <w:rFonts w:ascii="Times New Roman" w:eastAsia="仿宋_GB2312" w:hAnsi="Times New Roman" w:cs="Times New Roman" w:hint="eastAsia"/>
          <w:color w:val="000000"/>
          <w:sz w:val="32"/>
          <w:szCs w:val="32"/>
        </w:rPr>
        <w:t>指生成内容与输入数据、临床参考标准、适用的诊疗指南、</w:t>
      </w:r>
      <w:r w:rsidRPr="00514399">
        <w:rPr>
          <w:rFonts w:ascii="Times New Roman" w:eastAsia="仿宋_GB2312" w:hAnsi="Times New Roman" w:cs="Times New Roman" w:hint="eastAsia"/>
          <w:color w:val="000000"/>
          <w:sz w:val="32"/>
          <w:szCs w:val="32"/>
        </w:rPr>
        <w:lastRenderedPageBreak/>
        <w:t>药品说明书、权威文献或其他可核验医学依据相一致的程度。</w:t>
      </w:r>
    </w:p>
    <w:p w14:paraId="22C1D2CE" w14:textId="77777777" w:rsidR="00514399" w:rsidRPr="00514399" w:rsidRDefault="00514399" w:rsidP="00514399">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514399">
        <w:rPr>
          <w:rFonts w:ascii="Times New Roman" w:eastAsia="楷体_GB2312" w:hAnsi="Times New Roman" w:cs="Times New Roman" w:hint="eastAsia"/>
          <w:color w:val="000000"/>
          <w:sz w:val="32"/>
          <w:szCs w:val="32"/>
        </w:rPr>
        <w:t>（五）错误严重度</w:t>
      </w:r>
    </w:p>
    <w:p w14:paraId="6FD6AE4C" w14:textId="00C0E947" w:rsidR="00514399" w:rsidRPr="00514399" w:rsidRDefault="00514399" w:rsidP="005143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514399">
        <w:rPr>
          <w:rFonts w:ascii="Times New Roman" w:eastAsia="仿宋_GB2312" w:hAnsi="Times New Roman" w:cs="Times New Roman" w:hint="eastAsia"/>
          <w:color w:val="000000"/>
          <w:sz w:val="32"/>
          <w:szCs w:val="32"/>
        </w:rPr>
        <w:t>指生成内容存在错误、遗漏、误导、虚构引用或不当确定性时，按照其可能造成的临床影响进行的分级。</w:t>
      </w:r>
    </w:p>
    <w:p w14:paraId="169CE83F" w14:textId="732CCF3A" w:rsidR="00A23DE6" w:rsidRDefault="00A23DE6" w:rsidP="00320499">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Pr>
          <w:rFonts w:ascii="Times New Roman" w:eastAsia="黑体" w:hAnsi="Times New Roman" w:cs="Times New Roman"/>
          <w:color w:val="000000"/>
          <w:sz w:val="32"/>
          <w:szCs w:val="32"/>
        </w:rPr>
        <w:t>三、</w:t>
      </w:r>
      <w:r>
        <w:rPr>
          <w:rFonts w:ascii="Times New Roman" w:eastAsia="黑体" w:hAnsi="Times New Roman" w:cs="Times New Roman" w:hint="eastAsia"/>
          <w:color w:val="000000"/>
          <w:sz w:val="32"/>
          <w:szCs w:val="32"/>
        </w:rPr>
        <w:t>基本</w:t>
      </w:r>
      <w:r w:rsidR="00514399">
        <w:rPr>
          <w:rFonts w:ascii="Times New Roman" w:eastAsia="黑体" w:hAnsi="Times New Roman" w:cs="Times New Roman" w:hint="eastAsia"/>
          <w:color w:val="000000"/>
          <w:sz w:val="32"/>
          <w:szCs w:val="32"/>
        </w:rPr>
        <w:t>原则</w:t>
      </w:r>
    </w:p>
    <w:p w14:paraId="1C867282" w14:textId="4C8449AA" w:rsidR="00A23DE6" w:rsidRDefault="00A23DE6" w:rsidP="00320499">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（一）</w:t>
      </w:r>
      <w:r w:rsidR="00514399" w:rsidRPr="00514399">
        <w:rPr>
          <w:rFonts w:ascii="Times New Roman" w:eastAsia="楷体_GB2312" w:hAnsi="Times New Roman" w:cs="Times New Roman"/>
          <w:color w:val="000000"/>
          <w:sz w:val="32"/>
          <w:szCs w:val="32"/>
        </w:rPr>
        <w:t>以预期用途和临床风险为导向</w:t>
      </w:r>
    </w:p>
    <w:p w14:paraId="16430580" w14:textId="77777777" w:rsidR="00514399" w:rsidRDefault="00514399" w:rsidP="00A23DE6">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514399">
        <w:rPr>
          <w:rFonts w:ascii="Times New Roman" w:eastAsia="仿宋_GB2312" w:hAnsi="Times New Roman" w:cs="Times New Roman"/>
          <w:color w:val="000000"/>
          <w:sz w:val="32"/>
          <w:szCs w:val="32"/>
        </w:rPr>
        <w:t>性能评价应围绕申报的具体医疗用途、目标用户、目标人群、输入条件、输出形式、临床工作流位置和可能的临床后果开展，不应以通用大模型问答能力或非医疗基准测试结果替代医疗用途证据。直接影响诊疗决策、危急情况处置或高风险人群管理的功能，应采用更严格的评价任务、接受标准和人工复核要求。</w:t>
      </w:r>
    </w:p>
    <w:p w14:paraId="248EB21F" w14:textId="7822FC6C" w:rsidR="00A23DE6" w:rsidRDefault="00A23DE6" w:rsidP="00320499">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Pr>
          <w:rFonts w:ascii="Times New Roman" w:eastAsia="楷体_GB2312" w:hAnsi="Times New Roman" w:cs="Times New Roman"/>
          <w:color w:val="000000"/>
          <w:sz w:val="32"/>
          <w:szCs w:val="32"/>
        </w:rPr>
        <w:t>（二）</w:t>
      </w:r>
      <w:r w:rsidR="00320499" w:rsidRPr="00320499">
        <w:rPr>
          <w:rFonts w:ascii="Times New Roman" w:eastAsia="楷体_GB2312" w:hAnsi="Times New Roman" w:cs="Times New Roman"/>
          <w:color w:val="000000"/>
          <w:sz w:val="32"/>
          <w:szCs w:val="32"/>
        </w:rPr>
        <w:t>以系统整体作为评价对象</w:t>
      </w:r>
    </w:p>
    <w:p w14:paraId="76351D50"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生成式产品的实际性能由模型、知识库、提示词、工具调用、运行参数、部署环境和用户交互共同决定。申请人应对系统配置状态进行整体评价，不应仅以基础模型离线性能或单一组件性能替代上市产品的性能证明。</w:t>
      </w:r>
    </w:p>
    <w:p w14:paraId="6EB2861D" w14:textId="77777777" w:rsidR="00320499" w:rsidRPr="00320499" w:rsidRDefault="00320499" w:rsidP="00320499">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320499">
        <w:rPr>
          <w:rFonts w:ascii="Times New Roman" w:eastAsia="楷体_GB2312" w:hAnsi="Times New Roman" w:cs="Times New Roman" w:hint="eastAsia"/>
          <w:color w:val="000000"/>
          <w:sz w:val="32"/>
          <w:szCs w:val="32"/>
        </w:rPr>
        <w:t>（三）以可复核、可重复和可追溯为基础</w:t>
      </w:r>
    </w:p>
    <w:p w14:paraId="51CFF0B5"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申请人应建立测试任务、输入数据、参考依据、专家判读、版本状态、执行过程和结果的可追溯记录，使评价结论能够复核和重复。对存在随机性的生成式功能，应明确控制随机性的技术措施，并评价关键医学结论在重复运行中的稳定性。</w:t>
      </w:r>
    </w:p>
    <w:p w14:paraId="3152386E" w14:textId="77777777" w:rsidR="00320499" w:rsidRPr="00320499" w:rsidRDefault="00320499" w:rsidP="00320499">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320499">
        <w:rPr>
          <w:rFonts w:ascii="Times New Roman" w:eastAsia="楷体_GB2312" w:hAnsi="Times New Roman" w:cs="Times New Roman" w:hint="eastAsia"/>
          <w:color w:val="000000"/>
          <w:sz w:val="32"/>
          <w:szCs w:val="32"/>
        </w:rPr>
        <w:t>（四）以人类监督和风险控制为必要条件</w:t>
      </w:r>
    </w:p>
    <w:p w14:paraId="32679A9A" w14:textId="3A4BA449" w:rsidR="0070097B"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产品应根据风险和功能定位设置适当的人工复核、风险提示、拒答、升级处理和故障切换机制。不得以生成内容替代医务人员应当作出的专业判断；对于无法界定使用边界、不能有效</w:t>
      </w:r>
      <w:r w:rsidRPr="00320499">
        <w:rPr>
          <w:rFonts w:ascii="Times New Roman" w:eastAsia="仿宋_GB2312" w:hAnsi="Times New Roman" w:cs="Times New Roman" w:hint="eastAsia"/>
          <w:color w:val="000000"/>
          <w:sz w:val="32"/>
          <w:szCs w:val="32"/>
        </w:rPr>
        <w:lastRenderedPageBreak/>
        <w:t>提示不确定性或不能保证人工复核的高风险功能，不宜作为已被证实的医疗用途进行宣称。</w:t>
      </w:r>
    </w:p>
    <w:p w14:paraId="0FB61BBA" w14:textId="77777777" w:rsidR="00320499" w:rsidRPr="00320499" w:rsidRDefault="00320499" w:rsidP="00320499">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320499">
        <w:rPr>
          <w:rFonts w:ascii="Times New Roman" w:eastAsia="黑体" w:hAnsi="Times New Roman" w:cs="Times New Roman" w:hint="eastAsia"/>
          <w:color w:val="000000"/>
          <w:sz w:val="32"/>
          <w:szCs w:val="32"/>
        </w:rPr>
        <w:t>四、产品描述和功能风险分层</w:t>
      </w:r>
    </w:p>
    <w:p w14:paraId="58526D95" w14:textId="77777777"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（一）产品描述</w:t>
      </w:r>
    </w:p>
    <w:p w14:paraId="6D42E41D"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申请人应描述产品名称、型号规格、预期用途、目标疾病或临床任务、目标用户、使用场所、输入数据类型和来源、输出内容、临床工作流位置、使用频率、联网情况以及与其他医疗器械、医院信息系统或第三方服务的交互方式。应明确产品不适用情形、禁止使用情形和需要人工确认的内容。</w:t>
      </w:r>
    </w:p>
    <w:p w14:paraId="3A361775" w14:textId="77777777"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（二）生成式功能分类</w:t>
      </w:r>
    </w:p>
    <w:p w14:paraId="482EC523"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申请人宜按临床影响将生成式功能至少区分为：文书和信息整理类，如病历摘要、报告初稿和结构化信息提取；医学信息解释类，如对检查结果或医学资料的辅助说明；风险提示类，如对可能的异常、禁忌或随访风险进行提示；临床辅助建议类，如面向医务人员提出与诊断、治疗、监护或管理有关的建议。功能风险评价应结合输出是否直接影响临床决策、错误是否易被发现、使用者资质、患者病情紧迫程度和人工复核条件综合确定。</w:t>
      </w:r>
    </w:p>
    <w:p w14:paraId="454D9D31" w14:textId="77777777"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（三）系统配置说明</w:t>
      </w:r>
    </w:p>
    <w:p w14:paraId="4D943399"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申请人应提交系统架构和关键依赖关系说明，明确基础模型或专用模型的来源、名称、版本、部署方式和许可边界；训练、微调或适配数据的来源和用途；知识库、检索增强和引用机制；提示词模板、系统指令和关键参数；外部工具、接口和调用条件；软硬件运行环境、云服务、网络安全组件及权限控制。对于第三方模型、知识库、工具或云服务，应说明供应方、版本锁定、变更通知、不可用或异常时的降级策略及风险控制措施。</w:t>
      </w:r>
    </w:p>
    <w:p w14:paraId="498C4368" w14:textId="77777777" w:rsidR="00320499" w:rsidRPr="00320499" w:rsidRDefault="00320499" w:rsidP="00320499">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320499">
        <w:rPr>
          <w:rFonts w:ascii="Times New Roman" w:eastAsia="黑体" w:hAnsi="Times New Roman" w:cs="Times New Roman" w:hint="eastAsia"/>
          <w:color w:val="000000"/>
          <w:sz w:val="32"/>
          <w:szCs w:val="32"/>
        </w:rPr>
        <w:t>五、数据、知识和工程控制要求</w:t>
      </w:r>
    </w:p>
    <w:p w14:paraId="2502C9EB" w14:textId="77777777"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lastRenderedPageBreak/>
        <w:t>（一）数据与知识来源</w:t>
      </w:r>
    </w:p>
    <w:p w14:paraId="77090DBD"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申请人应说明训练、微调、验证和测试数据，以及知识库、检索语料和引用来源的合法性、相关性、代表性、质量控制方法和版本信息。与具体医疗用途有关的知识来源应具有明确的权威性、适用范围和更新时间。使用公开、第三方、境外或历史数据时，应说明其使用依据、本土适配性、数据时效性及其对性能和风险的影响。</w:t>
      </w:r>
    </w:p>
    <w:p w14:paraId="316115E7" w14:textId="77777777"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（二）知识检索和引用可核验性</w:t>
      </w:r>
    </w:p>
    <w:p w14:paraId="74921DB3"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对于宣称基于指南、文献、说明书或知识库提供医学信息的功能，应评价检索结果的相关性、来源可访问性、版本适用性和引用与结论的匹配关系。产品不应将不可定位、与结论不相符或已失效的内容作为可支持医学结论的引用。对于无法获得充分依据的结论，应以适当方式表达不确定性并提示人工核实。</w:t>
      </w:r>
    </w:p>
    <w:p w14:paraId="248A539D" w14:textId="77777777"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（三）提示词、工具和接口控制</w:t>
      </w:r>
    </w:p>
    <w:p w14:paraId="69B683FA"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申请人应识别影响临床输出的提示词模板、系统指令、上下文拼接规则、工具调用链和接口映射规则，建立受控管理和版本记录。应针对提示注入、越权工具调用、错误检索、接口传输异常、输入字段错配等情形开展安全性和鲁棒性测试。</w:t>
      </w:r>
    </w:p>
    <w:p w14:paraId="19F1F4C6" w14:textId="77777777"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（四）部署环境和网络安全</w:t>
      </w:r>
    </w:p>
    <w:p w14:paraId="7248196E"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申请人应说明典型运行环境、算力和网络条件、数据传输和存储方式、访问控制、日志记录、异常告警、备份恢复和服务不可用时的处置机制。性能评价应覆盖实际部署环境或具有代表性的模拟环境，并评价运行环境变化、网络波动、工具不可用等因素对关键功能和风险控制措施的影响。</w:t>
      </w:r>
    </w:p>
    <w:p w14:paraId="5304986E" w14:textId="77777777" w:rsidR="00320499" w:rsidRPr="00320499" w:rsidRDefault="00320499" w:rsidP="00320499">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320499">
        <w:rPr>
          <w:rFonts w:ascii="Times New Roman" w:eastAsia="黑体" w:hAnsi="Times New Roman" w:cs="Times New Roman" w:hint="eastAsia"/>
          <w:color w:val="000000"/>
          <w:sz w:val="32"/>
          <w:szCs w:val="32"/>
        </w:rPr>
        <w:t>六、性能评价要求</w:t>
      </w:r>
    </w:p>
    <w:p w14:paraId="72589D62" w14:textId="77777777"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（一）评价方案和任务集</w:t>
      </w:r>
    </w:p>
    <w:p w14:paraId="4C9AA83F"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lastRenderedPageBreak/>
        <w:t>申请人应在评价前制定性能评价方案，明确评价目的、系统配置状态、测试任务、样本来源和构成、参考标准、专家资质和判读规则、主要和次要评价指标、错误分级、接受标准、统计方法、偏倚控制和偏离方案的处理。测试任务应覆盖申报功能、典型输入、边界病例、信息不足、证据冲突、异常输入和超出适用范围的请求。</w:t>
      </w:r>
    </w:p>
    <w:p w14:paraId="6435453D" w14:textId="77777777"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（二）医学事实一致性和临床逻辑</w:t>
      </w:r>
    </w:p>
    <w:p w14:paraId="6AAE1285"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应依据与任务相匹配的临床参考标准，对生成内容中的关键医学事实、患者信息、检查结论、风险判断和建议进行逐项评价。评价应关注输出是否与原始输入相符，是否存在无依据推断、事实矛盾、将相关性表述为因果性、错误使用诊断标准或将不确定信息表述为确定结论等问题。对需进行临床推理的功能，应由具备相应专业能力的专家评价其临床逻辑和适用性。</w:t>
      </w:r>
    </w:p>
    <w:p w14:paraId="33095E98" w14:textId="77777777"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（三）完整性、相关性和表达适当性</w:t>
      </w:r>
    </w:p>
    <w:p w14:paraId="097EC4BD"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应评价生成内容是否覆盖任务所必需的关键信息、警示信息、禁忌或限制条件，是否遗漏可能改变临床处置的重要事实，是否包含与任务无关、可能分散使用者注意力或造成误解的信息。对于面向患者或非专业人员的输出，还应评价语言是否与目标用户理解能力相适应，且不应弱化应由医务人员完成的诊疗判断。</w:t>
      </w:r>
    </w:p>
    <w:p w14:paraId="5F4E4021" w14:textId="77777777"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（四）幻觉、错误严重度和已知失效模式</w:t>
      </w:r>
    </w:p>
    <w:p w14:paraId="57FF180A"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申请人应预先定义错误分类和严重度分级，并报告各类错误的发生率、典型案例、原因分析和风险控制措施。可将错误按照无临床影响的表达问题、可能造成理解偏差的问题、可能导致诊疗延误或错误处置的重大问题、需要立即处置的严重问题进行分级。对高严重度错误，应提出更严格的接受标准、发现机</w:t>
      </w:r>
      <w:r w:rsidRPr="00320499">
        <w:rPr>
          <w:rFonts w:ascii="Times New Roman" w:eastAsia="仿宋_GB2312" w:hAnsi="Times New Roman" w:cs="Times New Roman" w:hint="eastAsia"/>
          <w:color w:val="000000"/>
          <w:sz w:val="32"/>
          <w:szCs w:val="32"/>
        </w:rPr>
        <w:lastRenderedPageBreak/>
        <w:t>制、人工复核和升级处置要求。应结合不同人群、输入质量、疾病严重程度和边界场景披露已知失效模式。</w:t>
      </w:r>
    </w:p>
    <w:p w14:paraId="704A209B" w14:textId="77777777"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（五）拒答、风险提示和升级处理</w:t>
      </w:r>
    </w:p>
    <w:p w14:paraId="66D1C681"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对信息不足、输入矛盾、超出适用范围、高风险请求、模型或外部工具异常、引用不可核验等情形，申请人应评价产品能否识别相关风险，并以拒绝生成、提示限制、要求补充信息、转交人工复核或启动预设升级流程等适当方式响应。不得以看似确定但缺乏依据的生成内容替代安全处置。应记录拒答或升级处理的触发条件、发生比例、误触发和漏触发情况。</w:t>
      </w:r>
    </w:p>
    <w:p w14:paraId="18B927CB" w14:textId="77777777"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（六）一致性、复现性和版本控制</w:t>
      </w:r>
    </w:p>
    <w:p w14:paraId="123863ED"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对同一输入或等效输入，申请人应评价产品关键医学结论、风险提示和引用信息的一致性。若产品允许随机采样或输出多样性，应说明随机性控制参数及其合理性，并证明其不会导致关键医学结论出现不可接受差异。评价报告应记录模型、知识库、提示词、工具、参数和部署环境版本，使结果能够在相同配置下复现。</w:t>
      </w:r>
    </w:p>
    <w:p w14:paraId="185E3206" w14:textId="77777777"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（七）人工复核和人因要求</w:t>
      </w:r>
    </w:p>
    <w:p w14:paraId="70B1C91F"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申请人应开展与预期使用场景相适应的人因和可用性研究，评价用户能否理解输出的性质、适用范围、不确定性、引用依据和风险提示，能否有效完成复核、修改、拒绝或升级处理。应关注自动化偏倚、告警疲劳、过度依赖、界面诱导性表达和不同资历用户间的使用差异。对于需要人工确认的功能，应明确复核节点、复核对象、权限要求和操作留痕。</w:t>
      </w:r>
    </w:p>
    <w:p w14:paraId="6F7DAC42" w14:textId="77777777"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（八）性能影响因素和鲁棒性</w:t>
      </w:r>
    </w:p>
    <w:p w14:paraId="434665E0"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应评价输入数据质量、上下文长度、文本格式、语言表达差异、知识库更新、工具调用结果、网络条件、用户操作和部署配</w:t>
      </w:r>
      <w:r w:rsidRPr="00320499">
        <w:rPr>
          <w:rFonts w:ascii="Times New Roman" w:eastAsia="仿宋_GB2312" w:hAnsi="Times New Roman" w:cs="Times New Roman" w:hint="eastAsia"/>
          <w:color w:val="000000"/>
          <w:sz w:val="32"/>
          <w:szCs w:val="32"/>
        </w:rPr>
        <w:lastRenderedPageBreak/>
        <w:t>置等因素对性能的影响。测试应覆盖典型场景和具有代表性的边界场景。对于影响明显的因素，应明确可接受范围、风险提示、使用限制和必要的降级或人工处理措施。</w:t>
      </w:r>
    </w:p>
    <w:p w14:paraId="7EBF0CA0" w14:textId="77777777" w:rsidR="00320499" w:rsidRPr="00320499" w:rsidRDefault="00320499" w:rsidP="00320499">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320499">
        <w:rPr>
          <w:rFonts w:ascii="Times New Roman" w:eastAsia="黑体" w:hAnsi="Times New Roman" w:cs="Times New Roman" w:hint="eastAsia"/>
          <w:color w:val="000000"/>
          <w:sz w:val="32"/>
          <w:szCs w:val="32"/>
        </w:rPr>
        <w:t>七、评价结果报告和说明书要求</w:t>
      </w:r>
    </w:p>
    <w:p w14:paraId="0254568E" w14:textId="77777777"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（一）性能评价报告</w:t>
      </w:r>
    </w:p>
    <w:p w14:paraId="788945F2"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性能评价报告应至少包括：产品及系统配置状态；评价方案；任务集和样本构成；参考标准和专家判读过程；主要和次要指标；错误严重度分析；拒答、风险提示和升级处理表现；一致性和复现性结果；人因和人工复核结果；性能影响因素、已知失效模式及其风险控制措施；偏差、局限性和结论。结果应按功能类型、风险等级、输入条件和关键亚组进行必要的分层报告。</w:t>
      </w:r>
    </w:p>
    <w:p w14:paraId="454D563E" w14:textId="77777777" w:rsidR="00320499" w:rsidRPr="004E6461" w:rsidRDefault="00320499" w:rsidP="004E6461">
      <w:pPr>
        <w:adjustRightInd w:val="0"/>
        <w:snapToGrid w:val="0"/>
        <w:spacing w:line="520" w:lineRule="exact"/>
        <w:ind w:firstLineChars="200" w:firstLine="640"/>
        <w:outlineLvl w:val="1"/>
        <w:rPr>
          <w:rFonts w:ascii="Times New Roman" w:eastAsia="楷体_GB2312" w:hAnsi="Times New Roman" w:cs="Times New Roman"/>
          <w:color w:val="000000"/>
          <w:sz w:val="32"/>
          <w:szCs w:val="32"/>
        </w:rPr>
      </w:pPr>
      <w:r w:rsidRPr="004E6461">
        <w:rPr>
          <w:rFonts w:ascii="Times New Roman" w:eastAsia="楷体_GB2312" w:hAnsi="Times New Roman" w:cs="Times New Roman" w:hint="eastAsia"/>
          <w:color w:val="000000"/>
          <w:sz w:val="32"/>
          <w:szCs w:val="32"/>
        </w:rPr>
        <w:t>（二）说明书和标签</w:t>
      </w:r>
    </w:p>
    <w:p w14:paraId="42F266B5"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说明书应明确适用范围、目标用户、输入要求、输出性质、产品临床定位、配套或兼容条件、使用步骤、人工复核要求、已知限制、禁止或慎用情形、系统异常处理方式以及版本信息。对于生成式输出，应提示其可能存在错误、遗漏或不确定性，不得作为临床诊疗决策的唯一依据；应明确由具备相应资质的人员结合患者具体情况作出最终判断。</w:t>
      </w:r>
    </w:p>
    <w:p w14:paraId="685B13F4" w14:textId="77777777" w:rsidR="00320499" w:rsidRPr="00320499" w:rsidRDefault="00320499" w:rsidP="00320499">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320499">
        <w:rPr>
          <w:rFonts w:ascii="Times New Roman" w:eastAsia="黑体" w:hAnsi="Times New Roman" w:cs="Times New Roman" w:hint="eastAsia"/>
          <w:color w:val="000000"/>
          <w:sz w:val="32"/>
          <w:szCs w:val="32"/>
        </w:rPr>
        <w:t>八、变更控制和上市后性能跟踪</w:t>
      </w:r>
    </w:p>
    <w:p w14:paraId="09196E8E" w14:textId="77777777" w:rsidR="00320499" w:rsidRP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申请人应建立覆盖基础模型、训练或微调数据、模型参数、知识库、提示词、外部工具和接口、部署环境、网络安全组件的版本台账。每次变更应记录变更原因、影响分析、验证结果、上线范围、用户告知和回滚方案。对可能改变预期用途、输入输出逻辑、关键性能、已知失效模式或风险收益的变更，应开展与影响程度相适应的性能评价，必要时开展临床评价。</w:t>
      </w:r>
    </w:p>
    <w:p w14:paraId="2FB2FB2E" w14:textId="77777777" w:rsid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r w:rsidRPr="00320499">
        <w:rPr>
          <w:rFonts w:ascii="Times New Roman" w:eastAsia="仿宋_GB2312" w:hAnsi="Times New Roman" w:cs="Times New Roman" w:hint="eastAsia"/>
          <w:color w:val="000000"/>
          <w:sz w:val="32"/>
          <w:szCs w:val="32"/>
        </w:rPr>
        <w:t>上市后可结合产品风险和预期用途，持续跟踪严重错误输</w:t>
      </w:r>
      <w:r w:rsidRPr="00320499">
        <w:rPr>
          <w:rFonts w:ascii="Times New Roman" w:eastAsia="仿宋_GB2312" w:hAnsi="Times New Roman" w:cs="Times New Roman" w:hint="eastAsia"/>
          <w:color w:val="000000"/>
          <w:sz w:val="32"/>
          <w:szCs w:val="32"/>
        </w:rPr>
        <w:lastRenderedPageBreak/>
        <w:t>出、引用不可核验、异常拒答、人工推翻比例、用户投诉、异常输入、模型或知识库更新后的性能趋势及网络安全事件。发现可能影响安全有效性的信号时，应及时开展原因分析、补充验证和风险控制，必要时采取限用、回滚、暂停相关功能或其他处置措施。</w:t>
      </w:r>
    </w:p>
    <w:p w14:paraId="492B6FBD" w14:textId="77777777" w:rsidR="004E6461" w:rsidRPr="00320499" w:rsidRDefault="004E6461"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p>
    <w:p w14:paraId="005AD308" w14:textId="77777777" w:rsidR="00320499" w:rsidRPr="00320499" w:rsidRDefault="00320499" w:rsidP="00320499">
      <w:pPr>
        <w:adjustRightInd w:val="0"/>
        <w:snapToGrid w:val="0"/>
        <w:spacing w:line="520" w:lineRule="exact"/>
        <w:ind w:firstLineChars="200" w:firstLine="640"/>
        <w:outlineLvl w:val="0"/>
        <w:rPr>
          <w:rFonts w:ascii="Times New Roman" w:eastAsia="黑体" w:hAnsi="Times New Roman" w:cs="Times New Roman"/>
          <w:color w:val="000000"/>
          <w:sz w:val="32"/>
          <w:szCs w:val="32"/>
        </w:rPr>
      </w:pPr>
      <w:r w:rsidRPr="00320499">
        <w:rPr>
          <w:rFonts w:ascii="Times New Roman" w:eastAsia="黑体" w:hAnsi="Times New Roman" w:cs="Times New Roman" w:hint="eastAsia"/>
          <w:color w:val="000000"/>
          <w:sz w:val="32"/>
          <w:szCs w:val="32"/>
        </w:rPr>
        <w:t>附录</w:t>
      </w:r>
      <w:r w:rsidRPr="00320499">
        <w:rPr>
          <w:rFonts w:ascii="Times New Roman" w:eastAsia="黑体" w:hAnsi="Times New Roman" w:cs="Times New Roman" w:hint="eastAsia"/>
          <w:color w:val="000000"/>
          <w:sz w:val="32"/>
          <w:szCs w:val="32"/>
        </w:rPr>
        <w:t xml:space="preserve">A </w:t>
      </w:r>
      <w:r w:rsidRPr="00320499">
        <w:rPr>
          <w:rFonts w:ascii="Times New Roman" w:eastAsia="黑体" w:hAnsi="Times New Roman" w:cs="Times New Roman" w:hint="eastAsia"/>
          <w:color w:val="000000"/>
          <w:sz w:val="32"/>
          <w:szCs w:val="32"/>
        </w:rPr>
        <w:t>性能评价申报资料建议清单</w:t>
      </w:r>
    </w:p>
    <w:tbl>
      <w:tblPr>
        <w:tblStyle w:val="af3"/>
        <w:tblW w:w="9360" w:type="dxa"/>
        <w:tblInd w:w="120" w:type="dxa"/>
        <w:tblLayout w:type="fixed"/>
        <w:tblLook w:val="04A0" w:firstRow="1" w:lastRow="0" w:firstColumn="1" w:lastColumn="0" w:noHBand="0" w:noVBand="1"/>
      </w:tblPr>
      <w:tblGrid>
        <w:gridCol w:w="2710"/>
        <w:gridCol w:w="6650"/>
      </w:tblGrid>
      <w:tr w:rsidR="00320499" w:rsidRPr="004E6461" w14:paraId="5F7E8933" w14:textId="77777777" w:rsidTr="004E6461">
        <w:tc>
          <w:tcPr>
            <w:tcW w:w="2710" w:type="dxa"/>
            <w:tcMar>
              <w:top w:w="80" w:type="dxa"/>
              <w:left w:w="120" w:type="dxa"/>
              <w:bottom w:w="80" w:type="dxa"/>
              <w:right w:w="120" w:type="dxa"/>
            </w:tcMar>
            <w:vAlign w:val="center"/>
          </w:tcPr>
          <w:p w14:paraId="03468499" w14:textId="77777777" w:rsidR="00320499" w:rsidRPr="004E6461" w:rsidRDefault="00320499" w:rsidP="004E6461">
            <w:pPr>
              <w:adjustRightInd w:val="0"/>
              <w:snapToGrid w:val="0"/>
              <w:jc w:val="center"/>
              <w:rPr>
                <w:rFonts w:ascii="Times New Roman" w:eastAsia="仿宋_GB2312" w:hAnsi="Times New Roman" w:cs="Times New Roman"/>
                <w:color w:val="000000"/>
                <w:sz w:val="28"/>
                <w:szCs w:val="28"/>
              </w:rPr>
            </w:pPr>
            <w:r w:rsidRPr="004E6461">
              <w:rPr>
                <w:rFonts w:ascii="Times New Roman" w:eastAsia="仿宋_GB2312" w:hAnsi="Times New Roman" w:cs="Times New Roman"/>
                <w:b/>
                <w:color w:val="000000"/>
                <w:sz w:val="28"/>
                <w:szCs w:val="28"/>
              </w:rPr>
              <w:t>资料类别</w:t>
            </w:r>
          </w:p>
        </w:tc>
        <w:tc>
          <w:tcPr>
            <w:tcW w:w="6650" w:type="dxa"/>
            <w:tcMar>
              <w:top w:w="80" w:type="dxa"/>
              <w:left w:w="120" w:type="dxa"/>
              <w:bottom w:w="80" w:type="dxa"/>
              <w:right w:w="120" w:type="dxa"/>
            </w:tcMar>
            <w:vAlign w:val="center"/>
          </w:tcPr>
          <w:p w14:paraId="43599A3A" w14:textId="77777777" w:rsidR="00320499" w:rsidRPr="004E6461" w:rsidRDefault="00320499" w:rsidP="004E6461">
            <w:pPr>
              <w:adjustRightInd w:val="0"/>
              <w:snapToGrid w:val="0"/>
              <w:jc w:val="center"/>
              <w:rPr>
                <w:rFonts w:ascii="Times New Roman" w:eastAsia="仿宋_GB2312" w:hAnsi="Times New Roman" w:cs="Times New Roman"/>
                <w:color w:val="000000"/>
                <w:sz w:val="28"/>
                <w:szCs w:val="28"/>
              </w:rPr>
            </w:pPr>
            <w:r w:rsidRPr="004E6461">
              <w:rPr>
                <w:rFonts w:ascii="Times New Roman" w:eastAsia="仿宋_GB2312" w:hAnsi="Times New Roman" w:cs="Times New Roman"/>
                <w:b/>
                <w:color w:val="000000"/>
                <w:sz w:val="28"/>
                <w:szCs w:val="28"/>
              </w:rPr>
              <w:t>建议提交内容</w:t>
            </w:r>
          </w:p>
        </w:tc>
      </w:tr>
      <w:tr w:rsidR="00320499" w:rsidRPr="004E6461" w14:paraId="409B11D7" w14:textId="77777777" w:rsidTr="004E6461">
        <w:tc>
          <w:tcPr>
            <w:tcW w:w="2710" w:type="dxa"/>
            <w:vAlign w:val="center"/>
          </w:tcPr>
          <w:p w14:paraId="14624A1D" w14:textId="77777777" w:rsidR="00320499" w:rsidRPr="004E6461" w:rsidRDefault="00320499" w:rsidP="004E6461">
            <w:pPr>
              <w:adjustRightInd w:val="0"/>
              <w:snapToGrid w:val="0"/>
              <w:rPr>
                <w:rFonts w:ascii="Times New Roman" w:eastAsia="仿宋_GB2312" w:hAnsi="Times New Roman" w:cs="Times New Roman"/>
                <w:color w:val="000000"/>
                <w:sz w:val="28"/>
                <w:szCs w:val="28"/>
              </w:rPr>
            </w:pPr>
            <w:r w:rsidRPr="004E6461">
              <w:rPr>
                <w:rFonts w:ascii="Times New Roman" w:eastAsia="仿宋_GB2312" w:hAnsi="Times New Roman" w:cs="Times New Roman"/>
                <w:color w:val="000000"/>
                <w:sz w:val="28"/>
                <w:szCs w:val="28"/>
              </w:rPr>
              <w:t>产品与系统说明</w:t>
            </w:r>
          </w:p>
        </w:tc>
        <w:tc>
          <w:tcPr>
            <w:tcW w:w="6650" w:type="dxa"/>
            <w:vAlign w:val="center"/>
          </w:tcPr>
          <w:p w14:paraId="19C1F32F" w14:textId="77777777" w:rsidR="00320499" w:rsidRPr="004E6461" w:rsidRDefault="00320499" w:rsidP="004E6461">
            <w:pPr>
              <w:adjustRightInd w:val="0"/>
              <w:snapToGrid w:val="0"/>
              <w:rPr>
                <w:rFonts w:ascii="Times New Roman" w:eastAsia="仿宋_GB2312" w:hAnsi="Times New Roman" w:cs="Times New Roman"/>
                <w:color w:val="000000"/>
                <w:sz w:val="28"/>
                <w:szCs w:val="28"/>
              </w:rPr>
            </w:pPr>
            <w:r w:rsidRPr="004E6461">
              <w:rPr>
                <w:rFonts w:ascii="Times New Roman" w:eastAsia="仿宋_GB2312" w:hAnsi="Times New Roman" w:cs="Times New Roman"/>
                <w:color w:val="000000"/>
                <w:sz w:val="28"/>
                <w:szCs w:val="28"/>
              </w:rPr>
              <w:t>预期用途、功能分类、目标用户和场景、输入输出、系统架构、临床工作流位置、使用限制。</w:t>
            </w:r>
          </w:p>
        </w:tc>
      </w:tr>
      <w:tr w:rsidR="00320499" w:rsidRPr="004E6461" w14:paraId="01A4E09D" w14:textId="77777777" w:rsidTr="004E6461">
        <w:tc>
          <w:tcPr>
            <w:tcW w:w="2710" w:type="dxa"/>
            <w:vAlign w:val="center"/>
          </w:tcPr>
          <w:p w14:paraId="18082EB0" w14:textId="77777777" w:rsidR="00320499" w:rsidRPr="004E6461" w:rsidRDefault="00320499" w:rsidP="004E6461">
            <w:pPr>
              <w:adjustRightInd w:val="0"/>
              <w:snapToGrid w:val="0"/>
              <w:rPr>
                <w:rFonts w:ascii="Times New Roman" w:eastAsia="仿宋_GB2312" w:hAnsi="Times New Roman" w:cs="Times New Roman"/>
                <w:color w:val="000000"/>
                <w:sz w:val="28"/>
                <w:szCs w:val="28"/>
              </w:rPr>
            </w:pPr>
            <w:r w:rsidRPr="004E6461">
              <w:rPr>
                <w:rFonts w:ascii="Times New Roman" w:eastAsia="仿宋_GB2312" w:hAnsi="Times New Roman" w:cs="Times New Roman"/>
                <w:color w:val="000000"/>
                <w:sz w:val="28"/>
                <w:szCs w:val="28"/>
              </w:rPr>
              <w:t>模型与依赖台账</w:t>
            </w:r>
          </w:p>
        </w:tc>
        <w:tc>
          <w:tcPr>
            <w:tcW w:w="6650" w:type="dxa"/>
            <w:vAlign w:val="center"/>
          </w:tcPr>
          <w:p w14:paraId="0CF3D7A7" w14:textId="77777777" w:rsidR="00320499" w:rsidRPr="004E6461" w:rsidRDefault="00320499" w:rsidP="004E6461">
            <w:pPr>
              <w:adjustRightInd w:val="0"/>
              <w:snapToGrid w:val="0"/>
              <w:rPr>
                <w:rFonts w:ascii="Times New Roman" w:eastAsia="仿宋_GB2312" w:hAnsi="Times New Roman" w:cs="Times New Roman"/>
                <w:color w:val="000000"/>
                <w:sz w:val="28"/>
                <w:szCs w:val="28"/>
              </w:rPr>
            </w:pPr>
            <w:r w:rsidRPr="004E6461">
              <w:rPr>
                <w:rFonts w:ascii="Times New Roman" w:eastAsia="仿宋_GB2312" w:hAnsi="Times New Roman" w:cs="Times New Roman"/>
                <w:color w:val="000000"/>
                <w:sz w:val="28"/>
                <w:szCs w:val="28"/>
              </w:rPr>
              <w:t>基础模型、专用模型、训练或微调数据、知识库、提示词、外部工具、接口、部署和网络安全组件的版本及依赖关系。</w:t>
            </w:r>
          </w:p>
        </w:tc>
      </w:tr>
      <w:tr w:rsidR="00320499" w:rsidRPr="004E6461" w14:paraId="070547DA" w14:textId="77777777" w:rsidTr="004E6461">
        <w:tc>
          <w:tcPr>
            <w:tcW w:w="2710" w:type="dxa"/>
            <w:vAlign w:val="center"/>
          </w:tcPr>
          <w:p w14:paraId="2D498A54" w14:textId="77777777" w:rsidR="00320499" w:rsidRPr="004E6461" w:rsidRDefault="00320499" w:rsidP="004E6461">
            <w:pPr>
              <w:adjustRightInd w:val="0"/>
              <w:snapToGrid w:val="0"/>
              <w:rPr>
                <w:rFonts w:ascii="Times New Roman" w:eastAsia="仿宋_GB2312" w:hAnsi="Times New Roman" w:cs="Times New Roman"/>
                <w:color w:val="000000"/>
                <w:sz w:val="28"/>
                <w:szCs w:val="28"/>
              </w:rPr>
            </w:pPr>
            <w:r w:rsidRPr="004E6461">
              <w:rPr>
                <w:rFonts w:ascii="Times New Roman" w:eastAsia="仿宋_GB2312" w:hAnsi="Times New Roman" w:cs="Times New Roman"/>
                <w:color w:val="000000"/>
                <w:sz w:val="28"/>
                <w:szCs w:val="28"/>
              </w:rPr>
              <w:t>数据与知识资料</w:t>
            </w:r>
          </w:p>
        </w:tc>
        <w:tc>
          <w:tcPr>
            <w:tcW w:w="6650" w:type="dxa"/>
            <w:vAlign w:val="center"/>
          </w:tcPr>
          <w:p w14:paraId="794C8132" w14:textId="77777777" w:rsidR="00320499" w:rsidRPr="004E6461" w:rsidRDefault="00320499" w:rsidP="004E6461">
            <w:pPr>
              <w:adjustRightInd w:val="0"/>
              <w:snapToGrid w:val="0"/>
              <w:rPr>
                <w:rFonts w:ascii="Times New Roman" w:eastAsia="仿宋_GB2312" w:hAnsi="Times New Roman" w:cs="Times New Roman"/>
                <w:color w:val="000000"/>
                <w:sz w:val="28"/>
                <w:szCs w:val="28"/>
              </w:rPr>
            </w:pPr>
            <w:r w:rsidRPr="004E6461">
              <w:rPr>
                <w:rFonts w:ascii="Times New Roman" w:eastAsia="仿宋_GB2312" w:hAnsi="Times New Roman" w:cs="Times New Roman"/>
                <w:color w:val="000000"/>
                <w:sz w:val="28"/>
                <w:szCs w:val="28"/>
              </w:rPr>
              <w:t>来源合规性、质量控制、代表性、更新时间、引用来源、检索机制及本土适配性说明。</w:t>
            </w:r>
          </w:p>
        </w:tc>
      </w:tr>
      <w:tr w:rsidR="00320499" w:rsidRPr="004E6461" w14:paraId="69657673" w14:textId="77777777" w:rsidTr="004E6461">
        <w:tc>
          <w:tcPr>
            <w:tcW w:w="2710" w:type="dxa"/>
            <w:vAlign w:val="center"/>
          </w:tcPr>
          <w:p w14:paraId="70A2289F" w14:textId="77777777" w:rsidR="00320499" w:rsidRPr="004E6461" w:rsidRDefault="00320499" w:rsidP="004E6461">
            <w:pPr>
              <w:adjustRightInd w:val="0"/>
              <w:snapToGrid w:val="0"/>
              <w:rPr>
                <w:rFonts w:ascii="Times New Roman" w:eastAsia="仿宋_GB2312" w:hAnsi="Times New Roman" w:cs="Times New Roman"/>
                <w:color w:val="000000"/>
                <w:sz w:val="28"/>
                <w:szCs w:val="28"/>
              </w:rPr>
            </w:pPr>
            <w:r w:rsidRPr="004E6461">
              <w:rPr>
                <w:rFonts w:ascii="Times New Roman" w:eastAsia="仿宋_GB2312" w:hAnsi="Times New Roman" w:cs="Times New Roman"/>
                <w:color w:val="000000"/>
                <w:sz w:val="28"/>
                <w:szCs w:val="28"/>
              </w:rPr>
              <w:t>性能评价方案</w:t>
            </w:r>
          </w:p>
        </w:tc>
        <w:tc>
          <w:tcPr>
            <w:tcW w:w="6650" w:type="dxa"/>
            <w:vAlign w:val="center"/>
          </w:tcPr>
          <w:p w14:paraId="17FD3EF8" w14:textId="77777777" w:rsidR="00320499" w:rsidRPr="004E6461" w:rsidRDefault="00320499" w:rsidP="004E6461">
            <w:pPr>
              <w:adjustRightInd w:val="0"/>
              <w:snapToGrid w:val="0"/>
              <w:rPr>
                <w:rFonts w:ascii="Times New Roman" w:eastAsia="仿宋_GB2312" w:hAnsi="Times New Roman" w:cs="Times New Roman"/>
                <w:color w:val="000000"/>
                <w:sz w:val="28"/>
                <w:szCs w:val="28"/>
              </w:rPr>
            </w:pPr>
            <w:r w:rsidRPr="004E6461">
              <w:rPr>
                <w:rFonts w:ascii="Times New Roman" w:eastAsia="仿宋_GB2312" w:hAnsi="Times New Roman" w:cs="Times New Roman"/>
                <w:color w:val="000000"/>
                <w:sz w:val="28"/>
                <w:szCs w:val="28"/>
              </w:rPr>
              <w:t>任务集、样本构成、参考标准、专家判读规则、指标、错误分级、接受标准、统计方法和偏倚控制。</w:t>
            </w:r>
          </w:p>
        </w:tc>
      </w:tr>
      <w:tr w:rsidR="00320499" w:rsidRPr="004E6461" w14:paraId="436730A0" w14:textId="77777777" w:rsidTr="004E6461">
        <w:tc>
          <w:tcPr>
            <w:tcW w:w="2710" w:type="dxa"/>
            <w:vAlign w:val="center"/>
          </w:tcPr>
          <w:p w14:paraId="747E091E" w14:textId="77777777" w:rsidR="00320499" w:rsidRPr="004E6461" w:rsidRDefault="00320499" w:rsidP="004E6461">
            <w:pPr>
              <w:adjustRightInd w:val="0"/>
              <w:snapToGrid w:val="0"/>
              <w:rPr>
                <w:rFonts w:ascii="Times New Roman" w:eastAsia="仿宋_GB2312" w:hAnsi="Times New Roman" w:cs="Times New Roman"/>
                <w:color w:val="000000"/>
                <w:sz w:val="28"/>
                <w:szCs w:val="28"/>
              </w:rPr>
            </w:pPr>
            <w:r w:rsidRPr="004E6461">
              <w:rPr>
                <w:rFonts w:ascii="Times New Roman" w:eastAsia="仿宋_GB2312" w:hAnsi="Times New Roman" w:cs="Times New Roman"/>
                <w:color w:val="000000"/>
                <w:sz w:val="28"/>
                <w:szCs w:val="28"/>
              </w:rPr>
              <w:t>性能评价报告</w:t>
            </w:r>
          </w:p>
        </w:tc>
        <w:tc>
          <w:tcPr>
            <w:tcW w:w="6650" w:type="dxa"/>
            <w:vAlign w:val="center"/>
          </w:tcPr>
          <w:p w14:paraId="2230C0F5" w14:textId="77777777" w:rsidR="00320499" w:rsidRPr="004E6461" w:rsidRDefault="00320499" w:rsidP="004E6461">
            <w:pPr>
              <w:adjustRightInd w:val="0"/>
              <w:snapToGrid w:val="0"/>
              <w:rPr>
                <w:rFonts w:ascii="Times New Roman" w:eastAsia="仿宋_GB2312" w:hAnsi="Times New Roman" w:cs="Times New Roman"/>
                <w:color w:val="000000"/>
                <w:sz w:val="28"/>
                <w:szCs w:val="28"/>
              </w:rPr>
            </w:pPr>
            <w:r w:rsidRPr="004E6461">
              <w:rPr>
                <w:rFonts w:ascii="Times New Roman" w:eastAsia="仿宋_GB2312" w:hAnsi="Times New Roman" w:cs="Times New Roman"/>
                <w:color w:val="000000"/>
                <w:sz w:val="28"/>
                <w:szCs w:val="28"/>
              </w:rPr>
              <w:t>事实一致性、临床逻辑、完整性、引用可核验性、幻觉与错误、拒答和升级、一致性、鲁棒性、人因结果。</w:t>
            </w:r>
          </w:p>
        </w:tc>
      </w:tr>
      <w:tr w:rsidR="00320499" w:rsidRPr="004E6461" w14:paraId="1633D8A2" w14:textId="77777777" w:rsidTr="004E6461">
        <w:tc>
          <w:tcPr>
            <w:tcW w:w="2710" w:type="dxa"/>
            <w:vAlign w:val="center"/>
          </w:tcPr>
          <w:p w14:paraId="68C137C0" w14:textId="77777777" w:rsidR="00320499" w:rsidRPr="004E6461" w:rsidRDefault="00320499" w:rsidP="004E6461">
            <w:pPr>
              <w:adjustRightInd w:val="0"/>
              <w:snapToGrid w:val="0"/>
              <w:rPr>
                <w:rFonts w:ascii="Times New Roman" w:eastAsia="仿宋_GB2312" w:hAnsi="Times New Roman" w:cs="Times New Roman"/>
                <w:color w:val="000000"/>
                <w:sz w:val="28"/>
                <w:szCs w:val="28"/>
              </w:rPr>
            </w:pPr>
            <w:r w:rsidRPr="004E6461">
              <w:rPr>
                <w:rFonts w:ascii="Times New Roman" w:eastAsia="仿宋_GB2312" w:hAnsi="Times New Roman" w:cs="Times New Roman"/>
                <w:color w:val="000000"/>
                <w:sz w:val="28"/>
                <w:szCs w:val="28"/>
              </w:rPr>
              <w:t>风险与变更资料</w:t>
            </w:r>
          </w:p>
        </w:tc>
        <w:tc>
          <w:tcPr>
            <w:tcW w:w="6650" w:type="dxa"/>
            <w:vAlign w:val="center"/>
          </w:tcPr>
          <w:p w14:paraId="5784A17B" w14:textId="77777777" w:rsidR="00320499" w:rsidRPr="004E6461" w:rsidRDefault="00320499" w:rsidP="004E6461">
            <w:pPr>
              <w:adjustRightInd w:val="0"/>
              <w:snapToGrid w:val="0"/>
              <w:rPr>
                <w:rFonts w:ascii="Times New Roman" w:eastAsia="仿宋_GB2312" w:hAnsi="Times New Roman" w:cs="Times New Roman"/>
                <w:color w:val="000000"/>
                <w:sz w:val="28"/>
                <w:szCs w:val="28"/>
              </w:rPr>
            </w:pPr>
            <w:r w:rsidRPr="004E6461">
              <w:rPr>
                <w:rFonts w:ascii="Times New Roman" w:eastAsia="仿宋_GB2312" w:hAnsi="Times New Roman" w:cs="Times New Roman"/>
                <w:color w:val="000000"/>
                <w:sz w:val="28"/>
                <w:szCs w:val="28"/>
              </w:rPr>
              <w:t>已知失效模式、风险控制、版本台账、变更影响分析、回滚方案和上市后性能跟踪安排。</w:t>
            </w:r>
          </w:p>
        </w:tc>
      </w:tr>
      <w:tr w:rsidR="00320499" w:rsidRPr="004E6461" w14:paraId="15F6AAED" w14:textId="77777777" w:rsidTr="004E6461">
        <w:tc>
          <w:tcPr>
            <w:tcW w:w="2710" w:type="dxa"/>
            <w:vAlign w:val="center"/>
          </w:tcPr>
          <w:p w14:paraId="5E0A765F" w14:textId="77777777" w:rsidR="00320499" w:rsidRPr="004E6461" w:rsidRDefault="00320499" w:rsidP="004E6461">
            <w:pPr>
              <w:adjustRightInd w:val="0"/>
              <w:snapToGrid w:val="0"/>
              <w:rPr>
                <w:rFonts w:ascii="Times New Roman" w:eastAsia="仿宋_GB2312" w:hAnsi="Times New Roman" w:cs="Times New Roman"/>
                <w:color w:val="000000"/>
                <w:sz w:val="28"/>
                <w:szCs w:val="28"/>
              </w:rPr>
            </w:pPr>
            <w:r w:rsidRPr="004E6461">
              <w:rPr>
                <w:rFonts w:ascii="Times New Roman" w:eastAsia="仿宋_GB2312" w:hAnsi="Times New Roman" w:cs="Times New Roman"/>
                <w:color w:val="000000"/>
                <w:sz w:val="28"/>
                <w:szCs w:val="28"/>
              </w:rPr>
              <w:t>说明书与培训材料</w:t>
            </w:r>
          </w:p>
        </w:tc>
        <w:tc>
          <w:tcPr>
            <w:tcW w:w="6650" w:type="dxa"/>
            <w:vAlign w:val="center"/>
          </w:tcPr>
          <w:p w14:paraId="526C0B34" w14:textId="77777777" w:rsidR="00320499" w:rsidRPr="004E6461" w:rsidRDefault="00320499" w:rsidP="004E6461">
            <w:pPr>
              <w:adjustRightInd w:val="0"/>
              <w:snapToGrid w:val="0"/>
              <w:rPr>
                <w:rFonts w:ascii="Times New Roman" w:eastAsia="仿宋_GB2312" w:hAnsi="Times New Roman" w:cs="Times New Roman"/>
                <w:color w:val="000000"/>
                <w:sz w:val="28"/>
                <w:szCs w:val="28"/>
              </w:rPr>
            </w:pPr>
            <w:r w:rsidRPr="004E6461">
              <w:rPr>
                <w:rFonts w:ascii="Times New Roman" w:eastAsia="仿宋_GB2312" w:hAnsi="Times New Roman" w:cs="Times New Roman"/>
                <w:color w:val="000000"/>
                <w:sz w:val="28"/>
                <w:szCs w:val="28"/>
              </w:rPr>
              <w:t>输入条件、人工复核、警示提示、异常处置、使用限制、用户培训和权限管理要求。</w:t>
            </w:r>
          </w:p>
        </w:tc>
      </w:tr>
    </w:tbl>
    <w:p w14:paraId="0ADB6CBF" w14:textId="77777777" w:rsidR="00320499" w:rsidRPr="00320499" w:rsidRDefault="00320499" w:rsidP="00320499">
      <w:pPr>
        <w:adjustRightInd w:val="0"/>
        <w:snapToGrid w:val="0"/>
        <w:spacing w:line="520" w:lineRule="exact"/>
        <w:rPr>
          <w:rFonts w:ascii="Times New Roman" w:eastAsia="仿宋_GB2312" w:hAnsi="Times New Roman" w:cs="Times New Roman"/>
          <w:color w:val="000000"/>
          <w:sz w:val="32"/>
          <w:szCs w:val="32"/>
        </w:rPr>
      </w:pPr>
    </w:p>
    <w:p w14:paraId="372F25A0" w14:textId="77777777" w:rsidR="00320499" w:rsidRDefault="00320499" w:rsidP="00320499">
      <w:pPr>
        <w:adjustRightInd w:val="0"/>
        <w:snapToGrid w:val="0"/>
        <w:spacing w:line="520" w:lineRule="exact"/>
        <w:ind w:firstLineChars="200" w:firstLine="640"/>
        <w:rPr>
          <w:rFonts w:ascii="Times New Roman" w:eastAsia="仿宋_GB2312" w:hAnsi="Times New Roman" w:cs="Times New Roman"/>
          <w:color w:val="000000"/>
          <w:sz w:val="32"/>
          <w:szCs w:val="32"/>
        </w:rPr>
      </w:pPr>
    </w:p>
    <w:sectPr w:rsidR="00320499" w:rsidSect="00A23DE6">
      <w:footerReference w:type="even" r:id="rId6"/>
      <w:footerReference w:type="default" r:id="rId7"/>
      <w:pgSz w:w="11906" w:h="16838"/>
      <w:pgMar w:top="1440" w:right="1588" w:bottom="1440" w:left="1588" w:header="851" w:footer="992" w:gutter="0"/>
      <w:pgNumType w:start="32"/>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DA029" w14:textId="77777777" w:rsidR="00BF7198" w:rsidRDefault="00BF7198" w:rsidP="00A23DE6">
      <w:pPr>
        <w:rPr>
          <w:rFonts w:hint="eastAsia"/>
        </w:rPr>
      </w:pPr>
      <w:r>
        <w:separator/>
      </w:r>
    </w:p>
  </w:endnote>
  <w:endnote w:type="continuationSeparator" w:id="0">
    <w:p w14:paraId="426A0D77" w14:textId="77777777" w:rsidR="00BF7198" w:rsidRDefault="00BF7198" w:rsidP="00A23D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宋体"/>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467618"/>
      <w:docPartObj>
        <w:docPartGallery w:val="Page Numbers (Bottom of Page)"/>
        <w:docPartUnique/>
      </w:docPartObj>
    </w:sdtPr>
    <w:sdtEndPr>
      <w:rPr>
        <w:rFonts w:ascii="Times New Roman" w:hAnsi="Times New Roman" w:cs="Times New Roman"/>
        <w:sz w:val="28"/>
        <w:szCs w:val="28"/>
      </w:rPr>
    </w:sdtEndPr>
    <w:sdtContent>
      <w:p w14:paraId="0028E0A4" w14:textId="77777777" w:rsidR="00A23DE6" w:rsidRPr="00561663" w:rsidRDefault="00A23DE6" w:rsidP="00561663">
        <w:pPr>
          <w:pStyle w:val="af0"/>
          <w:rPr>
            <w:rFonts w:hint="eastAsia"/>
          </w:rPr>
        </w:pPr>
        <w:r w:rsidRPr="00561663">
          <w:rPr>
            <w:rFonts w:ascii="Times New Roman" w:hAnsi="Times New Roman" w:cs="Times New Roman"/>
            <w:sz w:val="28"/>
            <w:szCs w:val="28"/>
          </w:rPr>
          <w:t xml:space="preserve">— </w:t>
        </w:r>
        <w:r w:rsidRPr="00561663">
          <w:rPr>
            <w:rFonts w:ascii="Times New Roman" w:hAnsi="Times New Roman" w:cs="Times New Roman"/>
            <w:sz w:val="28"/>
            <w:szCs w:val="28"/>
          </w:rPr>
          <w:fldChar w:fldCharType="begin"/>
        </w:r>
        <w:r w:rsidRPr="00561663">
          <w:rPr>
            <w:rFonts w:ascii="Times New Roman" w:hAnsi="Times New Roman" w:cs="Times New Roman"/>
            <w:sz w:val="28"/>
            <w:szCs w:val="28"/>
          </w:rPr>
          <w:instrText>PAGE   \* MERGEFORMAT</w:instrText>
        </w:r>
        <w:r w:rsidRPr="00561663">
          <w:rPr>
            <w:rFonts w:ascii="Times New Roman" w:hAnsi="Times New Roman" w:cs="Times New Roman"/>
            <w:sz w:val="28"/>
            <w:szCs w:val="28"/>
          </w:rPr>
          <w:fldChar w:fldCharType="separate"/>
        </w:r>
        <w:r w:rsidRPr="00561663">
          <w:rPr>
            <w:rFonts w:ascii="Times New Roman" w:hAnsi="Times New Roman" w:cs="Times New Roman"/>
            <w:noProof/>
            <w:sz w:val="28"/>
            <w:szCs w:val="28"/>
            <w:lang w:val="zh-CN"/>
          </w:rPr>
          <w:t>38</w:t>
        </w:r>
        <w:r w:rsidRPr="00561663">
          <w:rPr>
            <w:rFonts w:ascii="Times New Roman" w:hAnsi="Times New Roman" w:cs="Times New Roman"/>
            <w:sz w:val="28"/>
            <w:szCs w:val="28"/>
          </w:rPr>
          <w:fldChar w:fldCharType="end"/>
        </w:r>
        <w:r w:rsidRPr="00561663">
          <w:rPr>
            <w:rFonts w:ascii="Times New Roman" w:hAnsi="Times New Roman" w:cs="Times New Roman"/>
            <w:sz w:val="28"/>
            <w:szCs w:val="28"/>
          </w:rP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A1011" w14:textId="77777777" w:rsidR="00A23DE6" w:rsidRDefault="00000000" w:rsidP="00561663">
    <w:pPr>
      <w:pStyle w:val="af0"/>
      <w:jc w:val="right"/>
      <w:rPr>
        <w:rFonts w:hint="eastAsia"/>
      </w:rPr>
    </w:pPr>
    <w:sdt>
      <w:sdtPr>
        <w:id w:val="-677655526"/>
        <w:docPartObj>
          <w:docPartGallery w:val="Page Numbers (Bottom of Page)"/>
          <w:docPartUnique/>
        </w:docPartObj>
      </w:sdtPr>
      <w:sdtEndPr>
        <w:rPr>
          <w:rFonts w:ascii="Times New Roman" w:hAnsi="Times New Roman" w:cs="Times New Roman"/>
          <w:sz w:val="28"/>
          <w:szCs w:val="28"/>
        </w:rPr>
      </w:sdtEndPr>
      <w:sdtContent>
        <w:r w:rsidR="00A23DE6" w:rsidRPr="00561663">
          <w:rPr>
            <w:rFonts w:ascii="Times New Roman" w:hAnsi="Times New Roman" w:cs="Times New Roman"/>
            <w:sz w:val="28"/>
            <w:szCs w:val="28"/>
          </w:rPr>
          <w:t xml:space="preserve">— </w:t>
        </w:r>
        <w:r w:rsidR="00A23DE6" w:rsidRPr="00561663">
          <w:rPr>
            <w:rFonts w:ascii="Times New Roman" w:hAnsi="Times New Roman" w:cs="Times New Roman"/>
            <w:sz w:val="28"/>
            <w:szCs w:val="28"/>
          </w:rPr>
          <w:fldChar w:fldCharType="begin"/>
        </w:r>
        <w:r w:rsidR="00A23DE6" w:rsidRPr="00561663">
          <w:rPr>
            <w:rFonts w:ascii="Times New Roman" w:hAnsi="Times New Roman" w:cs="Times New Roman"/>
            <w:sz w:val="28"/>
            <w:szCs w:val="28"/>
          </w:rPr>
          <w:instrText>PAGE   \* MERGEFORMAT</w:instrText>
        </w:r>
        <w:r w:rsidR="00A23DE6" w:rsidRPr="00561663">
          <w:rPr>
            <w:rFonts w:ascii="Times New Roman" w:hAnsi="Times New Roman" w:cs="Times New Roman"/>
            <w:sz w:val="28"/>
            <w:szCs w:val="28"/>
          </w:rPr>
          <w:fldChar w:fldCharType="separate"/>
        </w:r>
        <w:r w:rsidR="00A23DE6" w:rsidRPr="00561663">
          <w:rPr>
            <w:rFonts w:ascii="Times New Roman" w:hAnsi="Times New Roman" w:cs="Times New Roman"/>
            <w:noProof/>
            <w:sz w:val="28"/>
            <w:szCs w:val="28"/>
            <w:lang w:val="zh-CN"/>
          </w:rPr>
          <w:t>39</w:t>
        </w:r>
        <w:r w:rsidR="00A23DE6" w:rsidRPr="00561663">
          <w:rPr>
            <w:rFonts w:ascii="Times New Roman" w:hAnsi="Times New Roman" w:cs="Times New Roman"/>
            <w:sz w:val="28"/>
            <w:szCs w:val="28"/>
          </w:rPr>
          <w:fldChar w:fldCharType="end"/>
        </w:r>
      </w:sdtContent>
    </w:sdt>
    <w:r w:rsidR="00A23DE6" w:rsidRPr="00561663">
      <w:rPr>
        <w:rFonts w:ascii="Times New Roman" w:hAnsi="Times New Roman" w:cs="Times New Roman"/>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6C104" w14:textId="77777777" w:rsidR="00BF7198" w:rsidRDefault="00BF7198" w:rsidP="00A23DE6">
      <w:pPr>
        <w:rPr>
          <w:rFonts w:hint="eastAsia"/>
        </w:rPr>
      </w:pPr>
      <w:r>
        <w:separator/>
      </w:r>
    </w:p>
  </w:footnote>
  <w:footnote w:type="continuationSeparator" w:id="0">
    <w:p w14:paraId="3CFC3675" w14:textId="77777777" w:rsidR="00BF7198" w:rsidRDefault="00BF7198" w:rsidP="00A23DE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97B"/>
    <w:rsid w:val="002B7F1B"/>
    <w:rsid w:val="00320499"/>
    <w:rsid w:val="004557E2"/>
    <w:rsid w:val="004E6461"/>
    <w:rsid w:val="00514399"/>
    <w:rsid w:val="0070097B"/>
    <w:rsid w:val="007E7B51"/>
    <w:rsid w:val="00803BB6"/>
    <w:rsid w:val="00855E28"/>
    <w:rsid w:val="00A23DE6"/>
    <w:rsid w:val="00BF7198"/>
    <w:rsid w:val="00C877F3"/>
    <w:rsid w:val="00CD3076"/>
    <w:rsid w:val="00D54190"/>
    <w:rsid w:val="00F77AC8"/>
    <w:rsid w:val="00F81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BC8137"/>
  <w15:chartTrackingRefBased/>
  <w15:docId w15:val="{6787C221-DFF7-4BF6-BD0B-4FFD37334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399"/>
    <w:pPr>
      <w:widowControl w:val="0"/>
      <w:spacing w:after="0" w:line="240" w:lineRule="auto"/>
      <w:jc w:val="both"/>
    </w:pPr>
    <w:rPr>
      <w:sz w:val="21"/>
      <w:szCs w:val="22"/>
      <w14:ligatures w14:val="none"/>
    </w:rPr>
  </w:style>
  <w:style w:type="paragraph" w:styleId="1">
    <w:name w:val="heading 1"/>
    <w:basedOn w:val="a"/>
    <w:next w:val="a"/>
    <w:link w:val="10"/>
    <w:uiPriority w:val="9"/>
    <w:qFormat/>
    <w:rsid w:val="0070097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70097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70097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70097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70097B"/>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70097B"/>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0097B"/>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0097B"/>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0097B"/>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0097B"/>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70097B"/>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70097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70097B"/>
    <w:rPr>
      <w:rFonts w:cstheme="majorBidi"/>
      <w:color w:val="2F5496" w:themeColor="accent1" w:themeShade="BF"/>
      <w:sz w:val="28"/>
      <w:szCs w:val="28"/>
    </w:rPr>
  </w:style>
  <w:style w:type="character" w:customStyle="1" w:styleId="50">
    <w:name w:val="标题 5 字符"/>
    <w:basedOn w:val="a0"/>
    <w:link w:val="5"/>
    <w:uiPriority w:val="9"/>
    <w:semiHidden/>
    <w:rsid w:val="0070097B"/>
    <w:rPr>
      <w:rFonts w:cstheme="majorBidi"/>
      <w:color w:val="2F5496" w:themeColor="accent1" w:themeShade="BF"/>
      <w:sz w:val="24"/>
    </w:rPr>
  </w:style>
  <w:style w:type="character" w:customStyle="1" w:styleId="60">
    <w:name w:val="标题 6 字符"/>
    <w:basedOn w:val="a0"/>
    <w:link w:val="6"/>
    <w:uiPriority w:val="9"/>
    <w:semiHidden/>
    <w:rsid w:val="0070097B"/>
    <w:rPr>
      <w:rFonts w:cstheme="majorBidi"/>
      <w:b/>
      <w:bCs/>
      <w:color w:val="2F5496" w:themeColor="accent1" w:themeShade="BF"/>
    </w:rPr>
  </w:style>
  <w:style w:type="character" w:customStyle="1" w:styleId="70">
    <w:name w:val="标题 7 字符"/>
    <w:basedOn w:val="a0"/>
    <w:link w:val="7"/>
    <w:uiPriority w:val="9"/>
    <w:semiHidden/>
    <w:rsid w:val="0070097B"/>
    <w:rPr>
      <w:rFonts w:cstheme="majorBidi"/>
      <w:b/>
      <w:bCs/>
      <w:color w:val="595959" w:themeColor="text1" w:themeTint="A6"/>
    </w:rPr>
  </w:style>
  <w:style w:type="character" w:customStyle="1" w:styleId="80">
    <w:name w:val="标题 8 字符"/>
    <w:basedOn w:val="a0"/>
    <w:link w:val="8"/>
    <w:uiPriority w:val="9"/>
    <w:semiHidden/>
    <w:rsid w:val="0070097B"/>
    <w:rPr>
      <w:rFonts w:cstheme="majorBidi"/>
      <w:color w:val="595959" w:themeColor="text1" w:themeTint="A6"/>
    </w:rPr>
  </w:style>
  <w:style w:type="character" w:customStyle="1" w:styleId="90">
    <w:name w:val="标题 9 字符"/>
    <w:basedOn w:val="a0"/>
    <w:link w:val="9"/>
    <w:uiPriority w:val="9"/>
    <w:semiHidden/>
    <w:rsid w:val="0070097B"/>
    <w:rPr>
      <w:rFonts w:eastAsiaTheme="majorEastAsia" w:cstheme="majorBidi"/>
      <w:color w:val="595959" w:themeColor="text1" w:themeTint="A6"/>
    </w:rPr>
  </w:style>
  <w:style w:type="paragraph" w:styleId="a3">
    <w:name w:val="Title"/>
    <w:basedOn w:val="a"/>
    <w:next w:val="a"/>
    <w:link w:val="a4"/>
    <w:uiPriority w:val="10"/>
    <w:qFormat/>
    <w:rsid w:val="0070097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0097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0097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0097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0097B"/>
    <w:pPr>
      <w:spacing w:before="160"/>
      <w:jc w:val="center"/>
    </w:pPr>
    <w:rPr>
      <w:i/>
      <w:iCs/>
      <w:color w:val="404040" w:themeColor="text1" w:themeTint="BF"/>
    </w:rPr>
  </w:style>
  <w:style w:type="character" w:customStyle="1" w:styleId="a8">
    <w:name w:val="引用 字符"/>
    <w:basedOn w:val="a0"/>
    <w:link w:val="a7"/>
    <w:uiPriority w:val="29"/>
    <w:rsid w:val="0070097B"/>
    <w:rPr>
      <w:i/>
      <w:iCs/>
      <w:color w:val="404040" w:themeColor="text1" w:themeTint="BF"/>
    </w:rPr>
  </w:style>
  <w:style w:type="paragraph" w:styleId="a9">
    <w:name w:val="List Paragraph"/>
    <w:basedOn w:val="a"/>
    <w:uiPriority w:val="34"/>
    <w:qFormat/>
    <w:rsid w:val="0070097B"/>
    <w:pPr>
      <w:ind w:left="720"/>
      <w:contextualSpacing/>
    </w:pPr>
  </w:style>
  <w:style w:type="character" w:styleId="aa">
    <w:name w:val="Intense Emphasis"/>
    <w:basedOn w:val="a0"/>
    <w:uiPriority w:val="21"/>
    <w:qFormat/>
    <w:rsid w:val="0070097B"/>
    <w:rPr>
      <w:i/>
      <w:iCs/>
      <w:color w:val="2F5496" w:themeColor="accent1" w:themeShade="BF"/>
    </w:rPr>
  </w:style>
  <w:style w:type="paragraph" w:styleId="ab">
    <w:name w:val="Intense Quote"/>
    <w:basedOn w:val="a"/>
    <w:next w:val="a"/>
    <w:link w:val="ac"/>
    <w:uiPriority w:val="30"/>
    <w:qFormat/>
    <w:rsid w:val="007009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70097B"/>
    <w:rPr>
      <w:i/>
      <w:iCs/>
      <w:color w:val="2F5496" w:themeColor="accent1" w:themeShade="BF"/>
    </w:rPr>
  </w:style>
  <w:style w:type="character" w:styleId="ad">
    <w:name w:val="Intense Reference"/>
    <w:basedOn w:val="a0"/>
    <w:uiPriority w:val="32"/>
    <w:qFormat/>
    <w:rsid w:val="0070097B"/>
    <w:rPr>
      <w:b/>
      <w:bCs/>
      <w:smallCaps/>
      <w:color w:val="2F5496" w:themeColor="accent1" w:themeShade="BF"/>
      <w:spacing w:val="5"/>
    </w:rPr>
  </w:style>
  <w:style w:type="paragraph" w:styleId="ae">
    <w:name w:val="header"/>
    <w:basedOn w:val="a"/>
    <w:link w:val="af"/>
    <w:uiPriority w:val="99"/>
    <w:unhideWhenUsed/>
    <w:rsid w:val="00A23DE6"/>
    <w:pPr>
      <w:tabs>
        <w:tab w:val="center" w:pos="4153"/>
        <w:tab w:val="right" w:pos="8306"/>
      </w:tabs>
      <w:snapToGrid w:val="0"/>
      <w:jc w:val="center"/>
    </w:pPr>
    <w:rPr>
      <w:sz w:val="18"/>
      <w:szCs w:val="18"/>
    </w:rPr>
  </w:style>
  <w:style w:type="character" w:customStyle="1" w:styleId="af">
    <w:name w:val="页眉 字符"/>
    <w:basedOn w:val="a0"/>
    <w:link w:val="ae"/>
    <w:uiPriority w:val="99"/>
    <w:rsid w:val="00A23DE6"/>
    <w:rPr>
      <w:sz w:val="18"/>
      <w:szCs w:val="18"/>
    </w:rPr>
  </w:style>
  <w:style w:type="paragraph" w:styleId="af0">
    <w:name w:val="footer"/>
    <w:basedOn w:val="a"/>
    <w:link w:val="af1"/>
    <w:uiPriority w:val="99"/>
    <w:unhideWhenUsed/>
    <w:qFormat/>
    <w:rsid w:val="00A23DE6"/>
    <w:pPr>
      <w:tabs>
        <w:tab w:val="center" w:pos="4153"/>
        <w:tab w:val="right" w:pos="8306"/>
      </w:tabs>
      <w:snapToGrid w:val="0"/>
    </w:pPr>
    <w:rPr>
      <w:sz w:val="18"/>
      <w:szCs w:val="18"/>
    </w:rPr>
  </w:style>
  <w:style w:type="character" w:customStyle="1" w:styleId="af1">
    <w:name w:val="页脚 字符"/>
    <w:basedOn w:val="a0"/>
    <w:link w:val="af0"/>
    <w:uiPriority w:val="99"/>
    <w:qFormat/>
    <w:rsid w:val="00A23DE6"/>
    <w:rPr>
      <w:sz w:val="18"/>
      <w:szCs w:val="18"/>
    </w:rPr>
  </w:style>
  <w:style w:type="paragraph" w:styleId="af2">
    <w:name w:val="Normal (Web)"/>
    <w:basedOn w:val="a"/>
    <w:uiPriority w:val="99"/>
    <w:unhideWhenUsed/>
    <w:qFormat/>
    <w:rsid w:val="00A23DE6"/>
    <w:pPr>
      <w:widowControl/>
      <w:spacing w:before="75" w:after="75"/>
      <w:jc w:val="left"/>
    </w:pPr>
    <w:rPr>
      <w:rFonts w:ascii="宋体" w:eastAsia="宋体" w:hAnsi="宋体" w:cs="宋体"/>
      <w:kern w:val="0"/>
      <w:sz w:val="24"/>
      <w:szCs w:val="24"/>
    </w:rPr>
  </w:style>
  <w:style w:type="table" w:styleId="af3">
    <w:name w:val="Table Grid"/>
    <w:basedOn w:val="a1"/>
    <w:uiPriority w:val="39"/>
    <w:rsid w:val="003204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9</Pages>
  <Words>2617</Words>
  <Characters>2618</Characters>
  <Application>Microsoft Office Word</Application>
  <DocSecurity>0</DocSecurity>
  <Lines>124</Lines>
  <Paragraphs>90</Paragraphs>
  <ScaleCrop>false</ScaleCrop>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 任</dc:creator>
  <cp:keywords/>
  <dc:description/>
  <cp:lastModifiedBy>微 任</cp:lastModifiedBy>
  <cp:revision>7</cp:revision>
  <dcterms:created xsi:type="dcterms:W3CDTF">2026-08-25T06:29:00Z</dcterms:created>
  <dcterms:modified xsi:type="dcterms:W3CDTF">2026-08-27T09:56:00Z</dcterms:modified>
</cp:coreProperties>
</file>