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7ED87" w14:textId="3A75F32B" w:rsidR="00A23DE6" w:rsidRDefault="00A23DE6" w:rsidP="00A23DE6">
      <w:pPr>
        <w:snapToGrid w:val="0"/>
        <w:spacing w:line="520" w:lineRule="exact"/>
        <w:jc w:val="left"/>
        <w:rPr>
          <w:rFonts w:ascii="黑体" w:eastAsia="黑体" w:hAnsi="黑体" w:cs="Times New Roman" w:hint="eastAsia"/>
          <w:spacing w:val="-8"/>
          <w:sz w:val="32"/>
          <w:szCs w:val="32"/>
        </w:rPr>
      </w:pPr>
      <w:r w:rsidRPr="00561663">
        <w:rPr>
          <w:rFonts w:ascii="黑体" w:eastAsia="黑体" w:hAnsi="黑体" w:cs="Times New Roman" w:hint="eastAsia"/>
          <w:spacing w:val="-8"/>
          <w:sz w:val="32"/>
          <w:szCs w:val="32"/>
        </w:rPr>
        <w:t>附件</w:t>
      </w:r>
      <w:r w:rsidR="00CF5C82">
        <w:rPr>
          <w:rFonts w:ascii="黑体" w:eastAsia="黑体" w:hAnsi="黑体" w:cs="Times New Roman" w:hint="eastAsia"/>
          <w:spacing w:val="-8"/>
          <w:sz w:val="32"/>
          <w:szCs w:val="32"/>
        </w:rPr>
        <w:t>2</w:t>
      </w:r>
    </w:p>
    <w:p w14:paraId="4FD00FAF" w14:textId="77777777" w:rsidR="00A23DE6" w:rsidRPr="00561663" w:rsidRDefault="00A23DE6" w:rsidP="00A23DE6">
      <w:pPr>
        <w:snapToGrid w:val="0"/>
        <w:spacing w:line="520" w:lineRule="exact"/>
        <w:jc w:val="left"/>
        <w:rPr>
          <w:rFonts w:ascii="黑体" w:eastAsia="黑体" w:hAnsi="黑体" w:cs="Times New Roman" w:hint="eastAsia"/>
          <w:spacing w:val="-8"/>
          <w:sz w:val="32"/>
          <w:szCs w:val="32"/>
        </w:rPr>
      </w:pPr>
    </w:p>
    <w:p w14:paraId="2CBE25CB" w14:textId="77777777" w:rsidR="00CF5C82" w:rsidRDefault="00CF5C82" w:rsidP="00A23DE6">
      <w:pPr>
        <w:adjustRightInd w:val="0"/>
        <w:snapToGrid w:val="0"/>
        <w:spacing w:line="520" w:lineRule="exact"/>
        <w:jc w:val="center"/>
        <w:rPr>
          <w:rFonts w:ascii="Times New Roman" w:eastAsia="方正小标宋简体" w:hAnsi="Times New Roman" w:cs="Times New Roman"/>
          <w:spacing w:val="-8"/>
          <w:sz w:val="44"/>
          <w:szCs w:val="44"/>
        </w:rPr>
      </w:pPr>
      <w:r w:rsidRPr="00CF5C82">
        <w:rPr>
          <w:rFonts w:ascii="Times New Roman" w:eastAsia="方正小标宋简体" w:hAnsi="Times New Roman" w:cs="Times New Roman"/>
          <w:spacing w:val="-8"/>
          <w:sz w:val="44"/>
          <w:szCs w:val="44"/>
        </w:rPr>
        <w:t>多模态、多病种人工智能医疗器械</w:t>
      </w:r>
    </w:p>
    <w:p w14:paraId="3EEDBB62" w14:textId="379F0009" w:rsidR="00A23DE6" w:rsidRDefault="00CF5C82" w:rsidP="00A23DE6">
      <w:pPr>
        <w:adjustRightInd w:val="0"/>
        <w:snapToGrid w:val="0"/>
        <w:spacing w:line="520" w:lineRule="exact"/>
        <w:jc w:val="center"/>
        <w:rPr>
          <w:rFonts w:ascii="Times New Roman" w:eastAsia="方正小标宋简体" w:hAnsi="Times New Roman" w:cs="Times New Roman"/>
          <w:color w:val="000000"/>
          <w:sz w:val="44"/>
          <w:szCs w:val="44"/>
        </w:rPr>
      </w:pPr>
      <w:r w:rsidRPr="00CF5C82">
        <w:rPr>
          <w:rFonts w:ascii="Times New Roman" w:eastAsia="方正小标宋简体" w:hAnsi="Times New Roman" w:cs="Times New Roman"/>
          <w:spacing w:val="-8"/>
          <w:sz w:val="44"/>
          <w:szCs w:val="44"/>
        </w:rPr>
        <w:t>临床评价指导原则</w:t>
      </w:r>
      <w:r w:rsidR="00A23DE6" w:rsidRPr="00A23DE6">
        <w:rPr>
          <w:rFonts w:ascii="Times New Roman" w:eastAsia="方正小标宋简体" w:hAnsi="Times New Roman" w:cs="Times New Roman" w:hint="eastAsia"/>
          <w:spacing w:val="-8"/>
          <w:sz w:val="44"/>
          <w:szCs w:val="44"/>
        </w:rPr>
        <w:t>（</w:t>
      </w:r>
      <w:r w:rsidR="00BE1EEA">
        <w:rPr>
          <w:rFonts w:ascii="Times New Roman" w:eastAsia="方正小标宋简体" w:hAnsi="Times New Roman" w:cs="Times New Roman" w:hint="eastAsia"/>
          <w:spacing w:val="-8"/>
          <w:sz w:val="44"/>
          <w:szCs w:val="44"/>
        </w:rPr>
        <w:t>征求意见稿</w:t>
      </w:r>
      <w:r w:rsidR="00A23DE6" w:rsidRPr="00A23DE6">
        <w:rPr>
          <w:rFonts w:ascii="Times New Roman" w:eastAsia="方正小标宋简体" w:hAnsi="Times New Roman" w:cs="Times New Roman" w:hint="eastAsia"/>
          <w:spacing w:val="-8"/>
          <w:sz w:val="44"/>
          <w:szCs w:val="44"/>
        </w:rPr>
        <w:t>）</w:t>
      </w:r>
    </w:p>
    <w:p w14:paraId="5366C71D" w14:textId="77777777" w:rsidR="00A23DE6" w:rsidRDefault="00A23DE6" w:rsidP="00A23DE6">
      <w:pPr>
        <w:spacing w:line="520" w:lineRule="exact"/>
        <w:ind w:firstLineChars="200" w:firstLine="640"/>
        <w:rPr>
          <w:rFonts w:ascii="仿宋_GB2312" w:eastAsia="仿宋_GB2312" w:hint="eastAsia"/>
          <w:sz w:val="32"/>
          <w:szCs w:val="32"/>
        </w:rPr>
      </w:pPr>
    </w:p>
    <w:p w14:paraId="0682DB15" w14:textId="11A976AE" w:rsidR="00CF5C82" w:rsidRPr="00CF5C82" w:rsidRDefault="00CF5C82" w:rsidP="00CF5C82">
      <w:pPr>
        <w:spacing w:line="520" w:lineRule="exact"/>
        <w:ind w:firstLineChars="200" w:firstLine="640"/>
        <w:rPr>
          <w:rFonts w:ascii="仿宋_GB2312" w:eastAsia="仿宋_GB2312" w:hint="eastAsia"/>
          <w:sz w:val="32"/>
          <w:szCs w:val="32"/>
        </w:rPr>
      </w:pPr>
      <w:r w:rsidRPr="00CF5C82">
        <w:rPr>
          <w:rFonts w:ascii="仿宋_GB2312" w:eastAsia="仿宋_GB2312" w:hint="eastAsia"/>
          <w:sz w:val="32"/>
          <w:szCs w:val="32"/>
        </w:rPr>
        <w:t>本指导原则旨在指导注册申请人开展相关医疗器械临床评价资料的准备，同时为技术审评部门提供参考。</w:t>
      </w:r>
    </w:p>
    <w:p w14:paraId="651B737E" w14:textId="77777777" w:rsidR="00CF5C82" w:rsidRPr="00CF5C82" w:rsidRDefault="00CF5C82" w:rsidP="00CF5C82">
      <w:pPr>
        <w:spacing w:line="520" w:lineRule="exact"/>
        <w:ind w:firstLineChars="200" w:firstLine="640"/>
        <w:rPr>
          <w:rFonts w:ascii="仿宋_GB2312" w:eastAsia="仿宋_GB2312" w:hint="eastAsia"/>
          <w:sz w:val="32"/>
          <w:szCs w:val="32"/>
        </w:rPr>
      </w:pPr>
      <w:r w:rsidRPr="00CF5C82">
        <w:rPr>
          <w:rFonts w:ascii="仿宋_GB2312" w:eastAsia="仿宋_GB2312" w:hint="eastAsia"/>
          <w:sz w:val="32"/>
          <w:szCs w:val="32"/>
        </w:rPr>
        <w:t>本指导原则是对相关产品评价的一般要求。申请人应依据产品具体特征确定其中内容是否适用；若不适用，应具体阐述理由并提供相应科学依据，并依据产品具体特征对研究资料予以充实和细化。</w:t>
      </w:r>
    </w:p>
    <w:p w14:paraId="692A91D2" w14:textId="77777777" w:rsidR="00CF5C82" w:rsidRPr="00CF5C82" w:rsidRDefault="00CF5C82" w:rsidP="00CF5C82">
      <w:pPr>
        <w:spacing w:line="520" w:lineRule="exact"/>
        <w:ind w:firstLineChars="200" w:firstLine="640"/>
        <w:rPr>
          <w:rFonts w:ascii="仿宋_GB2312" w:eastAsia="仿宋_GB2312" w:hint="eastAsia"/>
          <w:sz w:val="32"/>
          <w:szCs w:val="32"/>
        </w:rPr>
      </w:pPr>
      <w:r w:rsidRPr="00CF5C82">
        <w:rPr>
          <w:rFonts w:ascii="仿宋_GB2312" w:eastAsia="仿宋_GB2312" w:hint="eastAsia"/>
          <w:sz w:val="32"/>
          <w:szCs w:val="32"/>
        </w:rPr>
        <w:t>本指导原则是供注册申请人和技术审评人员使用的指导性文件，不包括审评审批所涉及的行政事项，亦不作为法规强制执行，应在遵循相关法规的前提下使用。本指导原则提出的评价方法并非唯一可接受的方法；如采用其他方法，应提供充分的科学论证和验证确认资料。</w:t>
      </w:r>
    </w:p>
    <w:p w14:paraId="4FC7458D" w14:textId="409BFAF3" w:rsidR="00A23DE6" w:rsidRDefault="00CF5C82" w:rsidP="00CF5C82">
      <w:pPr>
        <w:spacing w:line="520" w:lineRule="exact"/>
        <w:ind w:firstLineChars="200" w:firstLine="640"/>
        <w:rPr>
          <w:rFonts w:ascii="仿宋_GB2312" w:eastAsia="仿宋_GB2312" w:hint="eastAsia"/>
          <w:sz w:val="32"/>
          <w:szCs w:val="32"/>
        </w:rPr>
      </w:pPr>
      <w:r w:rsidRPr="00CF5C82">
        <w:rPr>
          <w:rFonts w:ascii="仿宋_GB2312" w:eastAsia="仿宋_GB2312" w:hint="eastAsia"/>
          <w:sz w:val="32"/>
          <w:szCs w:val="32"/>
        </w:rPr>
        <w:t>本指导原则基于现行法规、标准体系和当前科学认知制定。随着法规和标准不断完善以及科学技术持续发展，相关内容将适时调整</w:t>
      </w:r>
      <w:r w:rsidR="00A23DE6" w:rsidRPr="00A23DE6">
        <w:rPr>
          <w:rFonts w:ascii="仿宋_GB2312" w:eastAsia="仿宋_GB2312" w:hint="eastAsia"/>
          <w:sz w:val="32"/>
          <w:szCs w:val="32"/>
        </w:rPr>
        <w:t>。</w:t>
      </w:r>
    </w:p>
    <w:p w14:paraId="2AC4058B" w14:textId="77777777" w:rsidR="00A23DE6" w:rsidRDefault="00A23DE6" w:rsidP="00A23DE6">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一、适用范围</w:t>
      </w:r>
    </w:p>
    <w:p w14:paraId="56FB1EEB" w14:textId="77777777" w:rsidR="00CF5C82" w:rsidRPr="00CF5C82" w:rsidRDefault="00CF5C82" w:rsidP="00CF5C82">
      <w:pPr>
        <w:adjustRightInd w:val="0"/>
        <w:snapToGrid w:val="0"/>
        <w:spacing w:line="520" w:lineRule="exact"/>
        <w:ind w:firstLineChars="200" w:firstLine="640"/>
        <w:rPr>
          <w:rFonts w:ascii="Times New Roman" w:eastAsia="仿宋_GB2312" w:hAnsi="Times New Roman" w:cs="Times New Roman"/>
          <w:sz w:val="32"/>
          <w:szCs w:val="32"/>
        </w:rPr>
      </w:pPr>
      <w:r w:rsidRPr="00CF5C82">
        <w:rPr>
          <w:rFonts w:ascii="Times New Roman" w:eastAsia="仿宋_GB2312" w:hAnsi="Times New Roman" w:cs="Times New Roman" w:hint="eastAsia"/>
          <w:sz w:val="32"/>
          <w:szCs w:val="32"/>
        </w:rPr>
        <w:t>本指导原则适用于融合两种及以上医疗数据模态，和</w:t>
      </w:r>
      <w:r w:rsidRPr="00CF5C82">
        <w:rPr>
          <w:rFonts w:ascii="Times New Roman" w:eastAsia="仿宋_GB2312" w:hAnsi="Times New Roman" w:cs="Times New Roman" w:hint="eastAsia"/>
          <w:sz w:val="32"/>
          <w:szCs w:val="32"/>
        </w:rPr>
        <w:t>/</w:t>
      </w:r>
      <w:r w:rsidRPr="00CF5C82">
        <w:rPr>
          <w:rFonts w:ascii="Times New Roman" w:eastAsia="仿宋_GB2312" w:hAnsi="Times New Roman" w:cs="Times New Roman" w:hint="eastAsia"/>
          <w:sz w:val="32"/>
          <w:szCs w:val="32"/>
        </w:rPr>
        <w:t>或在同一产品中面向多个疾病、器官、病理状态或临床任务提供辅助检测、辅助诊断、风险评估、分诊、监护、治疗规划或其他临床辅助信息的人工智能医疗器械软件，包括独立软件和软件组件。医疗数据模态可包括医学影像、病理图像、检验结果、生理信号、电子病历文本、结构化临床数据、基因组信息以及其他与</w:t>
      </w:r>
      <w:r w:rsidRPr="00CF5C82">
        <w:rPr>
          <w:rFonts w:ascii="Times New Roman" w:eastAsia="仿宋_GB2312" w:hAnsi="Times New Roman" w:cs="Times New Roman" w:hint="eastAsia"/>
          <w:sz w:val="32"/>
          <w:szCs w:val="32"/>
        </w:rPr>
        <w:lastRenderedPageBreak/>
        <w:t>医疗用途相关的数据。</w:t>
      </w:r>
    </w:p>
    <w:p w14:paraId="7ADE0D89" w14:textId="77777777" w:rsidR="00CF5C82" w:rsidRPr="00CF5C82" w:rsidRDefault="00CF5C82" w:rsidP="00CF5C82">
      <w:pPr>
        <w:adjustRightInd w:val="0"/>
        <w:snapToGrid w:val="0"/>
        <w:spacing w:line="520" w:lineRule="exact"/>
        <w:ind w:firstLineChars="200" w:firstLine="640"/>
        <w:rPr>
          <w:rFonts w:ascii="Times New Roman" w:eastAsia="仿宋_GB2312" w:hAnsi="Times New Roman" w:cs="Times New Roman"/>
          <w:sz w:val="32"/>
          <w:szCs w:val="32"/>
        </w:rPr>
      </w:pPr>
      <w:r w:rsidRPr="00CF5C82">
        <w:rPr>
          <w:rFonts w:ascii="Times New Roman" w:eastAsia="仿宋_GB2312" w:hAnsi="Times New Roman" w:cs="Times New Roman" w:hint="eastAsia"/>
          <w:sz w:val="32"/>
          <w:szCs w:val="32"/>
        </w:rPr>
        <w:t>本指导原则重点讨论多模态融合和多病种覆盖导致的适应证边界、参考标准、样本代表性、缺失或冲突输入、跨设备和跨机构泛化、亚组公平性、临床工作流和本地适配等临床评价问题。产品是否属于医疗器械及其管理类别，应依据预期用途、处理对象、核心功能和风险，按照有关规定综合判定。</w:t>
      </w:r>
    </w:p>
    <w:p w14:paraId="38557654" w14:textId="0ADFC7B2" w:rsidR="00A23DE6" w:rsidRDefault="00CF5C82" w:rsidP="00CF5C82">
      <w:pPr>
        <w:adjustRightInd w:val="0"/>
        <w:snapToGrid w:val="0"/>
        <w:spacing w:line="520" w:lineRule="exact"/>
        <w:ind w:firstLineChars="200" w:firstLine="640"/>
        <w:rPr>
          <w:rFonts w:ascii="Times New Roman" w:eastAsia="仿宋_GB2312" w:hAnsi="Times New Roman" w:cs="Times New Roman"/>
          <w:sz w:val="32"/>
          <w:szCs w:val="32"/>
        </w:rPr>
      </w:pPr>
      <w:r w:rsidRPr="00CF5C82">
        <w:rPr>
          <w:rFonts w:ascii="Times New Roman" w:eastAsia="仿宋_GB2312" w:hAnsi="Times New Roman" w:cs="Times New Roman" w:hint="eastAsia"/>
          <w:sz w:val="32"/>
          <w:szCs w:val="32"/>
        </w:rPr>
        <w:t>本指导原则不以一项总体性能指标替代各病种、各临床任务和各使用条件下的安全有效性评价。对于融合生成式功能、基础模型、持续学习或联网外部工具的产品，还应结合产品特征参照相关性能评价、软件、网络安全和变更控制要求。</w:t>
      </w:r>
    </w:p>
    <w:p w14:paraId="74B6A69C" w14:textId="06B984C4" w:rsidR="00A23DE6" w:rsidRDefault="00A23DE6" w:rsidP="00A23DE6">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二、</w:t>
      </w:r>
      <w:r w:rsidR="00514399" w:rsidRPr="00514399">
        <w:rPr>
          <w:rFonts w:ascii="Times New Roman" w:eastAsia="黑体" w:hAnsi="Times New Roman" w:cs="Times New Roman"/>
          <w:color w:val="000000"/>
          <w:sz w:val="32"/>
          <w:szCs w:val="32"/>
        </w:rPr>
        <w:t>术语和定义</w:t>
      </w:r>
    </w:p>
    <w:p w14:paraId="263DE78B" w14:textId="096CA87E" w:rsidR="00514399" w:rsidRDefault="00514399" w:rsidP="00514399">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（一）</w:t>
      </w:r>
      <w:r w:rsidR="00CF5C82" w:rsidRPr="00CF5C82">
        <w:rPr>
          <w:rFonts w:ascii="Times New Roman" w:eastAsia="楷体_GB2312" w:hAnsi="Times New Roman" w:cs="Times New Roman"/>
          <w:color w:val="000000"/>
          <w:sz w:val="32"/>
          <w:szCs w:val="32"/>
        </w:rPr>
        <w:t>多模态人工智能医疗器械</w:t>
      </w:r>
    </w:p>
    <w:p w14:paraId="19F95301" w14:textId="6A9FBA16" w:rsidR="00514399" w:rsidRPr="00514399" w:rsidRDefault="00CF5C82" w:rsidP="005143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CF5C82">
        <w:rPr>
          <w:rFonts w:ascii="Times New Roman" w:eastAsia="仿宋_GB2312" w:hAnsi="Times New Roman" w:cs="Times New Roman"/>
          <w:color w:val="000000"/>
          <w:sz w:val="32"/>
          <w:szCs w:val="32"/>
        </w:rPr>
        <w:t>指对两种及以上不同类型或来源的医疗数据进行联合处理、对齐、融合或协同分析，以实现特定医疗用途的人工智能医疗器械软件。</w:t>
      </w:r>
    </w:p>
    <w:p w14:paraId="0CF2038A" w14:textId="06EFD582" w:rsidR="00514399" w:rsidRPr="00514399" w:rsidRDefault="00514399" w:rsidP="00514399">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514399">
        <w:rPr>
          <w:rFonts w:ascii="Times New Roman" w:eastAsia="楷体_GB2312" w:hAnsi="Times New Roman" w:cs="Times New Roman" w:hint="eastAsia"/>
          <w:color w:val="000000"/>
          <w:sz w:val="32"/>
          <w:szCs w:val="32"/>
        </w:rPr>
        <w:t>（二）</w:t>
      </w:r>
      <w:r w:rsidR="00CF5C82" w:rsidRPr="00CF5C82">
        <w:rPr>
          <w:rFonts w:ascii="Times New Roman" w:eastAsia="楷体_GB2312" w:hAnsi="Times New Roman" w:cs="Times New Roman"/>
          <w:color w:val="000000"/>
          <w:sz w:val="32"/>
          <w:szCs w:val="32"/>
        </w:rPr>
        <w:t>多病种人工智能医疗器械</w:t>
      </w:r>
    </w:p>
    <w:p w14:paraId="3B7E851F" w14:textId="28B68830" w:rsidR="00514399" w:rsidRPr="00514399" w:rsidRDefault="00CF5C82" w:rsidP="005143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CF5C82">
        <w:rPr>
          <w:rFonts w:ascii="Times New Roman" w:eastAsia="仿宋_GB2312" w:hAnsi="Times New Roman" w:cs="Times New Roman"/>
          <w:color w:val="000000"/>
          <w:sz w:val="32"/>
          <w:szCs w:val="32"/>
        </w:rPr>
        <w:t>指在同一软件系统中，针对多个疾病、病理状态、器官系统或临床任务提供分析结果、风险信息或辅助决策信息的人工智能医疗器械软件</w:t>
      </w:r>
      <w:r w:rsidR="00514399" w:rsidRPr="00514399">
        <w:rPr>
          <w:rFonts w:ascii="Times New Roman" w:eastAsia="仿宋_GB2312" w:hAnsi="Times New Roman" w:cs="Times New Roman" w:hint="eastAsia"/>
          <w:color w:val="000000"/>
          <w:sz w:val="32"/>
          <w:szCs w:val="32"/>
        </w:rPr>
        <w:t>。</w:t>
      </w:r>
    </w:p>
    <w:p w14:paraId="7FC5D4BE" w14:textId="257BD213" w:rsidR="00514399" w:rsidRPr="00514399" w:rsidRDefault="00514399" w:rsidP="00514399">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514399">
        <w:rPr>
          <w:rFonts w:ascii="Times New Roman" w:eastAsia="楷体_GB2312" w:hAnsi="Times New Roman" w:cs="Times New Roman" w:hint="eastAsia"/>
          <w:color w:val="000000"/>
          <w:sz w:val="32"/>
          <w:szCs w:val="32"/>
        </w:rPr>
        <w:t>（三）</w:t>
      </w:r>
      <w:r w:rsidR="00CF5C82" w:rsidRPr="00CF5C82">
        <w:rPr>
          <w:rFonts w:ascii="Times New Roman" w:eastAsia="楷体_GB2312" w:hAnsi="Times New Roman" w:cs="Times New Roman"/>
          <w:color w:val="000000"/>
          <w:sz w:val="32"/>
          <w:szCs w:val="32"/>
        </w:rPr>
        <w:t>核心适应证</w:t>
      </w:r>
    </w:p>
    <w:p w14:paraId="637F7F19" w14:textId="17546F2B" w:rsidR="00514399" w:rsidRPr="00514399" w:rsidRDefault="00CF5C82" w:rsidP="005143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CF5C82">
        <w:rPr>
          <w:rFonts w:ascii="Times New Roman" w:eastAsia="仿宋_GB2312" w:hAnsi="Times New Roman" w:cs="Times New Roman"/>
          <w:color w:val="000000"/>
          <w:sz w:val="32"/>
          <w:szCs w:val="32"/>
        </w:rPr>
        <w:t>指产品拟作为主要医疗用途对外宣称，且已围绕目标人群、临床任务、输入条件、参考标准和临床后果提供相对完整证据的适应证或功能。</w:t>
      </w:r>
    </w:p>
    <w:p w14:paraId="2D3BC883" w14:textId="7E812FA8" w:rsidR="00514399" w:rsidRPr="00514399" w:rsidRDefault="00514399" w:rsidP="00514399">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514399">
        <w:rPr>
          <w:rFonts w:ascii="Times New Roman" w:eastAsia="楷体_GB2312" w:hAnsi="Times New Roman" w:cs="Times New Roman" w:hint="eastAsia"/>
          <w:color w:val="000000"/>
          <w:sz w:val="32"/>
          <w:szCs w:val="32"/>
        </w:rPr>
        <w:t>（四）</w:t>
      </w:r>
      <w:r w:rsidR="00CF5C82" w:rsidRPr="00CF5C82">
        <w:rPr>
          <w:rFonts w:ascii="Times New Roman" w:eastAsia="楷体_GB2312" w:hAnsi="Times New Roman" w:cs="Times New Roman"/>
          <w:color w:val="000000"/>
          <w:sz w:val="32"/>
          <w:szCs w:val="32"/>
        </w:rPr>
        <w:t>扩展适应证</w:t>
      </w:r>
    </w:p>
    <w:p w14:paraId="698808AD" w14:textId="3A2C6BC0" w:rsidR="00514399" w:rsidRDefault="00CF5C82" w:rsidP="005143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CF5C82">
        <w:rPr>
          <w:rFonts w:ascii="Times New Roman" w:eastAsia="仿宋_GB2312" w:hAnsi="Times New Roman" w:cs="Times New Roman"/>
          <w:color w:val="000000"/>
          <w:sz w:val="32"/>
          <w:szCs w:val="32"/>
        </w:rPr>
        <w:t>指在核心适应证基础上，拟扩展至其他疾病、临床任务、人群、设备、使用场景或输入组合的适应证或功能</w:t>
      </w:r>
      <w:r w:rsidR="00514399" w:rsidRPr="00514399">
        <w:rPr>
          <w:rFonts w:ascii="Times New Roman" w:eastAsia="仿宋_GB2312" w:hAnsi="Times New Roman" w:cs="Times New Roman" w:hint="eastAsia"/>
          <w:color w:val="000000"/>
          <w:sz w:val="32"/>
          <w:szCs w:val="32"/>
        </w:rPr>
        <w:t>。</w:t>
      </w:r>
    </w:p>
    <w:p w14:paraId="6B614987" w14:textId="77777777" w:rsidR="00CF5C82" w:rsidRPr="00CF5C82" w:rsidRDefault="00CF5C82" w:rsidP="00CF5C82">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CF5C82">
        <w:rPr>
          <w:rFonts w:ascii="Times New Roman" w:eastAsia="楷体_GB2312" w:hAnsi="Times New Roman" w:cs="Times New Roman" w:hint="eastAsia"/>
          <w:color w:val="000000"/>
          <w:sz w:val="32"/>
          <w:szCs w:val="32"/>
        </w:rPr>
        <w:lastRenderedPageBreak/>
        <w:t>（五）探索性功能</w:t>
      </w:r>
    </w:p>
    <w:p w14:paraId="0E4EA187" w14:textId="77777777" w:rsidR="00CF5C82" w:rsidRPr="00CF5C82" w:rsidRDefault="00CF5C82" w:rsidP="00CF5C8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CF5C82">
        <w:rPr>
          <w:rFonts w:ascii="Times New Roman" w:eastAsia="仿宋_GB2312" w:hAnsi="Times New Roman" w:cs="Times New Roman" w:hint="eastAsia"/>
          <w:color w:val="000000"/>
          <w:sz w:val="32"/>
          <w:szCs w:val="32"/>
        </w:rPr>
        <w:t>指尚处于研究验证阶段，证据不足以支持其作为已被证实医疗用途对外宣称的功能。</w:t>
      </w:r>
    </w:p>
    <w:p w14:paraId="799777A7" w14:textId="77777777" w:rsidR="00CF5C82" w:rsidRPr="00CF5C82" w:rsidRDefault="00CF5C82" w:rsidP="00CF5C82">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CF5C82">
        <w:rPr>
          <w:rFonts w:ascii="Times New Roman" w:eastAsia="楷体_GB2312" w:hAnsi="Times New Roman" w:cs="Times New Roman" w:hint="eastAsia"/>
          <w:color w:val="000000"/>
          <w:sz w:val="32"/>
          <w:szCs w:val="32"/>
        </w:rPr>
        <w:t>（六）模态缺失和模态冲突</w:t>
      </w:r>
    </w:p>
    <w:p w14:paraId="3339F6B3" w14:textId="42D64A0A" w:rsidR="00CF5C82" w:rsidRPr="00514399" w:rsidRDefault="00CF5C82" w:rsidP="00CF5C8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CF5C82">
        <w:rPr>
          <w:rFonts w:ascii="Times New Roman" w:eastAsia="仿宋_GB2312" w:hAnsi="Times New Roman" w:cs="Times New Roman" w:hint="eastAsia"/>
          <w:color w:val="000000"/>
          <w:sz w:val="32"/>
          <w:szCs w:val="32"/>
        </w:rPr>
        <w:t>模态缺失指预期参与分析的某一数据模态不可获得、不完整、质量不符合要求或超过预设时间窗；模态冲突指不同模态间存在时间、部位、患者标识、临床结论或关键特征不一致，可能影响融合结论的情形。</w:t>
      </w:r>
    </w:p>
    <w:p w14:paraId="169CE83F" w14:textId="732CCF3A" w:rsidR="00A23DE6" w:rsidRDefault="00A23DE6" w:rsidP="00320499">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三、</w:t>
      </w:r>
      <w:r>
        <w:rPr>
          <w:rFonts w:ascii="Times New Roman" w:eastAsia="黑体" w:hAnsi="Times New Roman" w:cs="Times New Roman" w:hint="eastAsia"/>
          <w:color w:val="000000"/>
          <w:sz w:val="32"/>
          <w:szCs w:val="32"/>
        </w:rPr>
        <w:t>基本</w:t>
      </w:r>
      <w:r w:rsidR="00514399">
        <w:rPr>
          <w:rFonts w:ascii="Times New Roman" w:eastAsia="黑体" w:hAnsi="Times New Roman" w:cs="Times New Roman" w:hint="eastAsia"/>
          <w:color w:val="000000"/>
          <w:sz w:val="32"/>
          <w:szCs w:val="32"/>
        </w:rPr>
        <w:t>原则</w:t>
      </w:r>
    </w:p>
    <w:p w14:paraId="1C867282" w14:textId="7B07AEE8" w:rsidR="00A23DE6" w:rsidRDefault="00A23DE6" w:rsidP="00320499">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（一）</w:t>
      </w:r>
      <w:r w:rsidR="00CF5C82" w:rsidRPr="00CF5C82">
        <w:rPr>
          <w:rFonts w:ascii="Times New Roman" w:eastAsia="楷体_GB2312" w:hAnsi="Times New Roman" w:cs="Times New Roman"/>
          <w:color w:val="000000"/>
          <w:sz w:val="32"/>
          <w:szCs w:val="32"/>
        </w:rPr>
        <w:t>以具体适应证和临床任务组织证据</w:t>
      </w:r>
    </w:p>
    <w:p w14:paraId="72066D6B" w14:textId="77777777" w:rsidR="00CF5C82" w:rsidRPr="00CF5C82" w:rsidRDefault="00CF5C82" w:rsidP="00CF5C8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CF5C82">
        <w:rPr>
          <w:rFonts w:ascii="Times New Roman" w:eastAsia="仿宋_GB2312" w:hAnsi="Times New Roman" w:cs="Times New Roman" w:hint="eastAsia"/>
          <w:color w:val="000000"/>
          <w:sz w:val="32"/>
          <w:szCs w:val="32"/>
        </w:rPr>
        <w:t>临床评价应以具体适应证、目标人群、目标用户、临床任务、输入组合和临床工作流为基本单元。多病种或多任务产品应分别说明每一项功能的临床定位、风险等级、主要终点、参考标准和证据强度，不应以总体平均表现替代病种级或任务级证据。</w:t>
      </w:r>
    </w:p>
    <w:p w14:paraId="7BA0A3F1" w14:textId="77777777" w:rsidR="00CF5C82" w:rsidRPr="00CF5C82" w:rsidRDefault="00CF5C82" w:rsidP="00CF5C82">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CF5C82">
        <w:rPr>
          <w:rFonts w:ascii="Times New Roman" w:eastAsia="楷体_GB2312" w:hAnsi="Times New Roman" w:cs="Times New Roman" w:hint="eastAsia"/>
          <w:color w:val="000000"/>
          <w:sz w:val="32"/>
          <w:szCs w:val="32"/>
        </w:rPr>
        <w:t>（二）以风险相称确定证据强度</w:t>
      </w:r>
    </w:p>
    <w:p w14:paraId="5CBE6157" w14:textId="77777777" w:rsidR="00CF5C82" w:rsidRPr="00CF5C82" w:rsidRDefault="00CF5C82" w:rsidP="00CF5C8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CF5C82">
        <w:rPr>
          <w:rFonts w:ascii="Times New Roman" w:eastAsia="仿宋_GB2312" w:hAnsi="Times New Roman" w:cs="Times New Roman" w:hint="eastAsia"/>
          <w:color w:val="000000"/>
          <w:sz w:val="32"/>
          <w:szCs w:val="32"/>
        </w:rPr>
        <w:t>疾病严重程度、误诊漏诊后果、诊疗紧迫性、用户资质、输入质量、人工复核条件及系统在工作流中的作用不同，决定临床评价的设计、样本量、评价指标和接受标准应当相应调整。对直接影响诊疗决策或涉及危急、罕见、高风险疾病的功能，应提供更充分的临床证据。</w:t>
      </w:r>
    </w:p>
    <w:p w14:paraId="0EA92C23" w14:textId="77777777" w:rsidR="00CF5C82" w:rsidRPr="00CF5C82" w:rsidRDefault="00CF5C82" w:rsidP="00CF5C82">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CF5C82">
        <w:rPr>
          <w:rFonts w:ascii="Times New Roman" w:eastAsia="楷体_GB2312" w:hAnsi="Times New Roman" w:cs="Times New Roman" w:hint="eastAsia"/>
          <w:color w:val="000000"/>
          <w:sz w:val="32"/>
          <w:szCs w:val="32"/>
        </w:rPr>
        <w:t>（三）以真实使用条件验证融合能力</w:t>
      </w:r>
    </w:p>
    <w:p w14:paraId="0B0EF2EA" w14:textId="77777777" w:rsidR="00CF5C82" w:rsidRPr="00CF5C82" w:rsidRDefault="00CF5C82" w:rsidP="00CF5C8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CF5C82">
        <w:rPr>
          <w:rFonts w:ascii="Times New Roman" w:eastAsia="仿宋_GB2312" w:hAnsi="Times New Roman" w:cs="Times New Roman" w:hint="eastAsia"/>
          <w:color w:val="000000"/>
          <w:sz w:val="32"/>
          <w:szCs w:val="32"/>
        </w:rPr>
        <w:t>临床评价除应确认理想输入条件下的性能外，还应评价模态获取时间差、设备或系统差异、数据缺失、模态冲突、低质量输入和工作流异常等真实使用情形。融合带来的临床价值应通过适当证据予以证明，不应仅以增加输入模态数量推定性能提升。</w:t>
      </w:r>
    </w:p>
    <w:p w14:paraId="5789B753" w14:textId="77777777" w:rsidR="00CF5C82" w:rsidRPr="00CF5C82" w:rsidRDefault="00CF5C82" w:rsidP="00CF5C82">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CF5C82">
        <w:rPr>
          <w:rFonts w:ascii="Times New Roman" w:eastAsia="楷体_GB2312" w:hAnsi="Times New Roman" w:cs="Times New Roman" w:hint="eastAsia"/>
          <w:color w:val="000000"/>
          <w:sz w:val="32"/>
          <w:szCs w:val="32"/>
        </w:rPr>
        <w:lastRenderedPageBreak/>
        <w:t>（四）以分层报告识别局部风险</w:t>
      </w:r>
    </w:p>
    <w:p w14:paraId="32679A9A" w14:textId="594ACD75" w:rsidR="0070097B" w:rsidRDefault="00CF5C82" w:rsidP="00CF5C8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CF5C82">
        <w:rPr>
          <w:rFonts w:ascii="Times New Roman" w:eastAsia="仿宋_GB2312" w:hAnsi="Times New Roman" w:cs="Times New Roman" w:hint="eastAsia"/>
          <w:color w:val="000000"/>
          <w:sz w:val="32"/>
          <w:szCs w:val="32"/>
        </w:rPr>
        <w:t>临床评价应按病种、临床任务、模态完整性、关键人群、设备、机构、时间段和其他可能影响临床表现的因素开展必要的分层分析。对长尾病种、少数人群和不利输入条件下的证据不足或性能下降，应如实报告并形成明确的使用限制。</w:t>
      </w:r>
    </w:p>
    <w:p w14:paraId="0FB61BBA" w14:textId="00645E3D" w:rsidR="00320499" w:rsidRPr="00320499" w:rsidRDefault="00320499" w:rsidP="00320499">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320499">
        <w:rPr>
          <w:rFonts w:ascii="Times New Roman" w:eastAsia="黑体" w:hAnsi="Times New Roman" w:cs="Times New Roman" w:hint="eastAsia"/>
          <w:color w:val="000000"/>
          <w:sz w:val="32"/>
          <w:szCs w:val="32"/>
        </w:rPr>
        <w:t>四、</w:t>
      </w:r>
      <w:r w:rsidR="00CF5C82" w:rsidRPr="00CF5C82">
        <w:rPr>
          <w:rFonts w:ascii="Times New Roman" w:eastAsia="黑体" w:hAnsi="Times New Roman" w:cs="Times New Roman"/>
          <w:color w:val="000000"/>
          <w:sz w:val="32"/>
          <w:szCs w:val="32"/>
        </w:rPr>
        <w:t>适应证和功能分层</w:t>
      </w:r>
    </w:p>
    <w:p w14:paraId="58526D95" w14:textId="59828DC6"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（一）</w:t>
      </w:r>
      <w:r w:rsidR="00CF5C82" w:rsidRPr="00CF5C82">
        <w:rPr>
          <w:rFonts w:ascii="Times New Roman" w:eastAsia="楷体_GB2312" w:hAnsi="Times New Roman" w:cs="Times New Roman"/>
          <w:color w:val="000000"/>
          <w:sz w:val="32"/>
          <w:szCs w:val="32"/>
        </w:rPr>
        <w:t>核心适应证</w:t>
      </w:r>
    </w:p>
    <w:p w14:paraId="71F87D70" w14:textId="77777777" w:rsidR="00CF5C82" w:rsidRPr="00CF5C82" w:rsidRDefault="00CF5C82" w:rsidP="00CF5C8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CF5C82">
        <w:rPr>
          <w:rFonts w:ascii="Times New Roman" w:eastAsia="仿宋_GB2312" w:hAnsi="Times New Roman" w:cs="Times New Roman" w:hint="eastAsia"/>
          <w:color w:val="000000"/>
          <w:sz w:val="32"/>
          <w:szCs w:val="32"/>
        </w:rPr>
        <w:t>核心适应证应明确目标疾病或临床问题、适用人群、目标用户、输入模态及其质量要求、输出内容、参考标准、临床工作流位置和风险控制措施。申请人应提供与该适应证相匹配的性能研究和临床评价资料，证明产品在申报使用条件下具有可接受的安全性、有效性和临床价值。</w:t>
      </w:r>
    </w:p>
    <w:p w14:paraId="64F11664" w14:textId="77777777" w:rsidR="00CF5C82" w:rsidRPr="00CF5C82" w:rsidRDefault="00CF5C82" w:rsidP="00CF5C82">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CF5C82">
        <w:rPr>
          <w:rFonts w:ascii="Times New Roman" w:eastAsia="楷体_GB2312" w:hAnsi="Times New Roman" w:cs="Times New Roman" w:hint="eastAsia"/>
          <w:color w:val="000000"/>
          <w:sz w:val="32"/>
          <w:szCs w:val="32"/>
        </w:rPr>
        <w:t>（二）扩展适应证</w:t>
      </w:r>
    </w:p>
    <w:p w14:paraId="0FF4D8F7" w14:textId="77777777" w:rsidR="00CF5C82" w:rsidRPr="00CF5C82" w:rsidRDefault="00CF5C82" w:rsidP="00CF5C8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CF5C82">
        <w:rPr>
          <w:rFonts w:ascii="Times New Roman" w:eastAsia="仿宋_GB2312" w:hAnsi="Times New Roman" w:cs="Times New Roman" w:hint="eastAsia"/>
          <w:color w:val="000000"/>
          <w:sz w:val="32"/>
          <w:szCs w:val="32"/>
        </w:rPr>
        <w:t>拟扩展适应证应说明与核心适应证在疾病机制、临床任务、目标用户、参考标准、输入数据、融合逻辑、风险水平和临床后果等方面的相似性和差异性。申请人应针对差异部分补充相应验证和临床证据；对差异显著、风险较高或关键证据不足的扩展适应证，不宜仅依据证据迁移予以支持。</w:t>
      </w:r>
    </w:p>
    <w:p w14:paraId="3F343F04" w14:textId="77777777" w:rsidR="00CF5C82" w:rsidRPr="00CF5C82" w:rsidRDefault="00CF5C82" w:rsidP="00CF5C82">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CF5C82">
        <w:rPr>
          <w:rFonts w:ascii="Times New Roman" w:eastAsia="楷体_GB2312" w:hAnsi="Times New Roman" w:cs="Times New Roman" w:hint="eastAsia"/>
          <w:color w:val="000000"/>
          <w:sz w:val="32"/>
          <w:szCs w:val="32"/>
        </w:rPr>
        <w:t>（三）探索性功能</w:t>
      </w:r>
    </w:p>
    <w:p w14:paraId="52625AA3" w14:textId="77777777" w:rsidR="00CF5C82" w:rsidRPr="00CF5C82" w:rsidRDefault="00CF5C82" w:rsidP="00CF5C8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CF5C82">
        <w:rPr>
          <w:rFonts w:ascii="Times New Roman" w:eastAsia="仿宋_GB2312" w:hAnsi="Times New Roman" w:cs="Times New Roman" w:hint="eastAsia"/>
          <w:color w:val="000000"/>
          <w:sz w:val="32"/>
          <w:szCs w:val="32"/>
        </w:rPr>
        <w:t>探索性功能可用于研究和持续证据积累，但不应与核心适应证混同，不宜作为已被证实的医疗用途进行对外宣称。说明书、用户界面和宣传材料应避免使使用者将探索性输出理解为已经获得充分临床验证的结论。</w:t>
      </w:r>
    </w:p>
    <w:p w14:paraId="223C056B" w14:textId="77777777" w:rsidR="00CF5C82" w:rsidRPr="00CF5C82" w:rsidRDefault="00CF5C82" w:rsidP="00CF5C82">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CF5C82">
        <w:rPr>
          <w:rFonts w:ascii="Times New Roman" w:eastAsia="楷体_GB2312" w:hAnsi="Times New Roman" w:cs="Times New Roman" w:hint="eastAsia"/>
          <w:color w:val="000000"/>
          <w:sz w:val="32"/>
          <w:szCs w:val="32"/>
        </w:rPr>
        <w:t>（四）适应证分层资料</w:t>
      </w:r>
    </w:p>
    <w:p w14:paraId="4D943399" w14:textId="289EAED4" w:rsidR="00320499" w:rsidRPr="00320499" w:rsidRDefault="00CF5C82" w:rsidP="00CF5C8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CF5C82">
        <w:rPr>
          <w:rFonts w:ascii="Times New Roman" w:eastAsia="仿宋_GB2312" w:hAnsi="Times New Roman" w:cs="Times New Roman" w:hint="eastAsia"/>
          <w:color w:val="000000"/>
          <w:sz w:val="32"/>
          <w:szCs w:val="32"/>
        </w:rPr>
        <w:t>申请人应形成适应证和功能清单，逐项说明其分层类别、临床定位、目标人群、输入模态、输出、主要终点、参考标准、临</w:t>
      </w:r>
      <w:r w:rsidRPr="00CF5C82">
        <w:rPr>
          <w:rFonts w:ascii="Times New Roman" w:eastAsia="仿宋_GB2312" w:hAnsi="Times New Roman" w:cs="Times New Roman" w:hint="eastAsia"/>
          <w:color w:val="000000"/>
          <w:sz w:val="32"/>
          <w:szCs w:val="32"/>
        </w:rPr>
        <w:lastRenderedPageBreak/>
        <w:t>床证据、已知限制和人工复核要求</w:t>
      </w:r>
      <w:r w:rsidR="00320499" w:rsidRPr="00320499">
        <w:rPr>
          <w:rFonts w:ascii="Times New Roman" w:eastAsia="仿宋_GB2312" w:hAnsi="Times New Roman" w:cs="Times New Roman" w:hint="eastAsia"/>
          <w:color w:val="000000"/>
          <w:sz w:val="32"/>
          <w:szCs w:val="32"/>
        </w:rPr>
        <w:t>。</w:t>
      </w:r>
    </w:p>
    <w:p w14:paraId="498C4368" w14:textId="56A37E86" w:rsidR="00320499" w:rsidRPr="00320499" w:rsidRDefault="00320499" w:rsidP="00320499">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320499">
        <w:rPr>
          <w:rFonts w:ascii="Times New Roman" w:eastAsia="黑体" w:hAnsi="Times New Roman" w:cs="Times New Roman" w:hint="eastAsia"/>
          <w:color w:val="000000"/>
          <w:sz w:val="32"/>
          <w:szCs w:val="32"/>
        </w:rPr>
        <w:t>五、</w:t>
      </w:r>
      <w:r w:rsidR="00CF5C82" w:rsidRPr="00CF5C82">
        <w:rPr>
          <w:rFonts w:ascii="Times New Roman" w:eastAsia="黑体" w:hAnsi="Times New Roman" w:cs="Times New Roman"/>
          <w:color w:val="000000"/>
          <w:sz w:val="32"/>
          <w:szCs w:val="32"/>
        </w:rPr>
        <w:t>临床评价路径和基本资料要求</w:t>
      </w:r>
    </w:p>
    <w:p w14:paraId="2502C9EB" w14:textId="3C3C3D2A"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（一）</w:t>
      </w:r>
      <w:r w:rsidR="00CF5C82" w:rsidRPr="00CF5C82">
        <w:rPr>
          <w:rFonts w:ascii="Times New Roman" w:eastAsia="楷体_GB2312" w:hAnsi="Times New Roman" w:cs="Times New Roman"/>
          <w:color w:val="000000"/>
          <w:sz w:val="32"/>
          <w:szCs w:val="32"/>
        </w:rPr>
        <w:t>临床评价路径</w:t>
      </w:r>
    </w:p>
    <w:p w14:paraId="7BE6A0C4" w14:textId="77777777" w:rsidR="00CF5C82" w:rsidRPr="00CF5C82" w:rsidRDefault="00CF5C82" w:rsidP="00CF5C8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CF5C82">
        <w:rPr>
          <w:rFonts w:ascii="Times New Roman" w:eastAsia="仿宋_GB2312" w:hAnsi="Times New Roman" w:cs="Times New Roman" w:hint="eastAsia"/>
          <w:color w:val="000000"/>
          <w:sz w:val="32"/>
          <w:szCs w:val="32"/>
        </w:rPr>
        <w:t>申请人应依据产品风险、核心适应证的新颖性、临床影响、同品种产品的可比性和已有证据基础，选择适当临床评价路径。对于多模态、多病种产品，即使部分算法或输入模态与既有产品相似，若融合逻辑、适应证范围、目标用户或临床工作流发生实质变化，仍应提供能够支持申报用途的相应临床证据。</w:t>
      </w:r>
    </w:p>
    <w:p w14:paraId="59B28570" w14:textId="77777777" w:rsidR="00CF5C82" w:rsidRPr="00801DAA" w:rsidRDefault="00CF5C82" w:rsidP="00801DAA">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801DAA">
        <w:rPr>
          <w:rFonts w:ascii="Times New Roman" w:eastAsia="楷体_GB2312" w:hAnsi="Times New Roman" w:cs="Times New Roman" w:hint="eastAsia"/>
          <w:color w:val="000000"/>
          <w:sz w:val="32"/>
          <w:szCs w:val="32"/>
        </w:rPr>
        <w:t>（二）产品定型和版本一致性</w:t>
      </w:r>
    </w:p>
    <w:p w14:paraId="30B5F015" w14:textId="77777777" w:rsidR="00CF5C82" w:rsidRPr="00CF5C82" w:rsidRDefault="00CF5C82" w:rsidP="00CF5C8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CF5C82">
        <w:rPr>
          <w:rFonts w:ascii="Times New Roman" w:eastAsia="仿宋_GB2312" w:hAnsi="Times New Roman" w:cs="Times New Roman" w:hint="eastAsia"/>
          <w:color w:val="000000"/>
          <w:sz w:val="32"/>
          <w:szCs w:val="32"/>
        </w:rPr>
        <w:t>开展关键临床评价前，产品应已完成与申报用途相适应的开发和性能确认。用于临床评价的模型、输入预处理、融合策略、阈值、规则、软件版本、运行环境和配套条件应与申报产品一致。临床评价启动后，如发生可能影响安全有效性的变更，应按照变更影响进行评估，必要时补充或重新开展相关评价。</w:t>
      </w:r>
    </w:p>
    <w:p w14:paraId="4EC819AA" w14:textId="77777777" w:rsidR="00CF5C82" w:rsidRPr="00801DAA" w:rsidRDefault="00CF5C82" w:rsidP="00801DAA">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801DAA">
        <w:rPr>
          <w:rFonts w:ascii="Times New Roman" w:eastAsia="楷体_GB2312" w:hAnsi="Times New Roman" w:cs="Times New Roman" w:hint="eastAsia"/>
          <w:color w:val="000000"/>
          <w:sz w:val="32"/>
          <w:szCs w:val="32"/>
        </w:rPr>
        <w:t>（三）临床评价资料</w:t>
      </w:r>
    </w:p>
    <w:p w14:paraId="7248196E" w14:textId="34351CF2" w:rsidR="00320499" w:rsidRPr="00320499" w:rsidRDefault="00CF5C82" w:rsidP="00CF5C8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CF5C82">
        <w:rPr>
          <w:rFonts w:ascii="Times New Roman" w:eastAsia="仿宋_GB2312" w:hAnsi="Times New Roman" w:cs="Times New Roman" w:hint="eastAsia"/>
          <w:color w:val="000000"/>
          <w:sz w:val="32"/>
          <w:szCs w:val="32"/>
        </w:rPr>
        <w:t>申请人应提交临床评价计划和报告、产品及版本说明、适应证分层资料、临床前性能研究、数据和标注资料、临床试验方案、参考标准构建资料、统计分析计划、风险管理资料、说明书和培训材料。对于使用外部数据、真实世界数据或境外数据的，应说明数据来源、质量、相关性、可靠性、本土适配性和偏倚控制措施。</w:t>
      </w:r>
    </w:p>
    <w:p w14:paraId="5304986E" w14:textId="0E96C05F" w:rsidR="00320499" w:rsidRPr="00320499" w:rsidRDefault="00320499" w:rsidP="00320499">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320499">
        <w:rPr>
          <w:rFonts w:ascii="Times New Roman" w:eastAsia="黑体" w:hAnsi="Times New Roman" w:cs="Times New Roman" w:hint="eastAsia"/>
          <w:color w:val="000000"/>
          <w:sz w:val="32"/>
          <w:szCs w:val="32"/>
        </w:rPr>
        <w:t>六、</w:t>
      </w:r>
      <w:r w:rsidR="00801DAA" w:rsidRPr="00801DAA">
        <w:rPr>
          <w:rFonts w:ascii="Times New Roman" w:eastAsia="黑体" w:hAnsi="Times New Roman" w:cs="Times New Roman"/>
          <w:color w:val="000000"/>
          <w:sz w:val="32"/>
          <w:szCs w:val="32"/>
        </w:rPr>
        <w:t>临床试验设计</w:t>
      </w:r>
    </w:p>
    <w:p w14:paraId="72589D62" w14:textId="1B7332BD"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（一）</w:t>
      </w:r>
      <w:r w:rsidR="00801DAA" w:rsidRPr="00801DAA">
        <w:rPr>
          <w:rFonts w:ascii="Times New Roman" w:eastAsia="楷体_GB2312" w:hAnsi="Times New Roman" w:cs="Times New Roman"/>
          <w:color w:val="000000"/>
          <w:sz w:val="32"/>
          <w:szCs w:val="32"/>
        </w:rPr>
        <w:t>临床试验目的</w:t>
      </w:r>
    </w:p>
    <w:p w14:paraId="232E5A98" w14:textId="77777777" w:rsidR="00801DAA" w:rsidRPr="00801DAA" w:rsidRDefault="00801DAA" w:rsidP="00801DAA">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801DAA">
        <w:rPr>
          <w:rFonts w:ascii="Times New Roman" w:eastAsia="仿宋_GB2312" w:hAnsi="Times New Roman" w:cs="Times New Roman" w:hint="eastAsia"/>
          <w:color w:val="000000"/>
          <w:sz w:val="32"/>
          <w:szCs w:val="32"/>
        </w:rPr>
        <w:t>临床试验目的应与核心适应证及临床任务直接对应，可包括确认产品对诊断或风险识别准确性的影响、提高医务人员工作效率或一致性、改善分诊或临床流程、减少不必要检查或提</w:t>
      </w:r>
      <w:r w:rsidRPr="00801DAA">
        <w:rPr>
          <w:rFonts w:ascii="Times New Roman" w:eastAsia="仿宋_GB2312" w:hAnsi="Times New Roman" w:cs="Times New Roman" w:hint="eastAsia"/>
          <w:color w:val="000000"/>
          <w:sz w:val="32"/>
          <w:szCs w:val="32"/>
        </w:rPr>
        <w:lastRenderedPageBreak/>
        <w:t>高信息整合质量等。仅证明模型与参考标准一致，通常不足以证明产品在临床工作流中的获益；对涉及人机协同的功能，应评价使用产品与未使用产品条件下的临床表现和风险变化。</w:t>
      </w:r>
    </w:p>
    <w:p w14:paraId="44562E1E" w14:textId="77777777" w:rsidR="00801DAA" w:rsidRPr="00801DAA" w:rsidRDefault="00801DAA" w:rsidP="00801DAA">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801DAA">
        <w:rPr>
          <w:rFonts w:ascii="Times New Roman" w:eastAsia="楷体_GB2312" w:hAnsi="Times New Roman" w:cs="Times New Roman" w:hint="eastAsia"/>
          <w:color w:val="000000"/>
          <w:sz w:val="32"/>
          <w:szCs w:val="32"/>
        </w:rPr>
        <w:t>（二）研究对象和临床试验机构</w:t>
      </w:r>
    </w:p>
    <w:p w14:paraId="393417E1" w14:textId="77777777" w:rsidR="00801DAA" w:rsidRPr="00801DAA" w:rsidRDefault="00801DAA" w:rsidP="00801DAA">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801DAA">
        <w:rPr>
          <w:rFonts w:ascii="Times New Roman" w:eastAsia="仿宋_GB2312" w:hAnsi="Times New Roman" w:cs="Times New Roman" w:hint="eastAsia"/>
          <w:color w:val="000000"/>
          <w:sz w:val="32"/>
          <w:szCs w:val="32"/>
        </w:rPr>
        <w:t>研究对象应为申报产品的预期适用人群，并覆盖与临床任务相关的疾病谱、严重程度、共病情况、关键临床特征和易混淆病例。临床试验宜采用多中心设计，试验机构应具备与申报产品相匹配的诊疗能力、数据质量管理能力和配套设备条件。机构来源应尽可能不同于训练数据主要来源机构，并覆盖具有代表性的地域和医疗层级。</w:t>
      </w:r>
    </w:p>
    <w:p w14:paraId="1E84EA8E" w14:textId="77777777" w:rsidR="00801DAA" w:rsidRPr="00801DAA" w:rsidRDefault="00801DAA" w:rsidP="00801DAA">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801DAA">
        <w:rPr>
          <w:rFonts w:ascii="Times New Roman" w:eastAsia="楷体_GB2312" w:hAnsi="Times New Roman" w:cs="Times New Roman" w:hint="eastAsia"/>
          <w:color w:val="000000"/>
          <w:sz w:val="32"/>
          <w:szCs w:val="32"/>
        </w:rPr>
        <w:t>（三）试验设计类型</w:t>
      </w:r>
    </w:p>
    <w:p w14:paraId="6C271EED" w14:textId="77777777" w:rsidR="00801DAA" w:rsidRPr="00801DAA" w:rsidRDefault="00801DAA" w:rsidP="00801DAA">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801DAA">
        <w:rPr>
          <w:rFonts w:ascii="Times New Roman" w:eastAsia="仿宋_GB2312" w:hAnsi="Times New Roman" w:cs="Times New Roman" w:hint="eastAsia"/>
          <w:color w:val="000000"/>
          <w:sz w:val="32"/>
          <w:szCs w:val="32"/>
        </w:rPr>
        <w:t>申请人可根据产品特征和临床任务，选择前瞻性对照、随机平行对照、交叉自身对照、多阅片者多数据样本、诊断准确性研究、真实使用场景研究或其他科学合理的设计。对非实时数据分析场景，可考虑采用多阅片者多数据样本或交叉设计评价人机协同性能；对实时分诊、监护、治疗规划或流程嵌入式产品，应根据实际使用方式选择能够反映临床工作流的研究设计。</w:t>
      </w:r>
    </w:p>
    <w:p w14:paraId="33DA6608" w14:textId="77777777" w:rsidR="00801DAA" w:rsidRPr="00801DAA" w:rsidRDefault="00801DAA" w:rsidP="00801DAA">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801DAA">
        <w:rPr>
          <w:rFonts w:ascii="Times New Roman" w:eastAsia="楷体_GB2312" w:hAnsi="Times New Roman" w:cs="Times New Roman" w:hint="eastAsia"/>
          <w:color w:val="000000"/>
          <w:sz w:val="32"/>
          <w:szCs w:val="32"/>
        </w:rPr>
        <w:t>（四）对照和临床参考标准</w:t>
      </w:r>
    </w:p>
    <w:p w14:paraId="5C89052A" w14:textId="77777777" w:rsidR="00801DAA" w:rsidRPr="00801DAA" w:rsidRDefault="00801DAA" w:rsidP="00801DAA">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801DAA">
        <w:rPr>
          <w:rFonts w:ascii="Times New Roman" w:eastAsia="仿宋_GB2312" w:hAnsi="Times New Roman" w:cs="Times New Roman" w:hint="eastAsia"/>
          <w:color w:val="000000"/>
          <w:sz w:val="32"/>
          <w:szCs w:val="32"/>
        </w:rPr>
        <w:t>对照可为医务人员在未使用产品条件下的常规判断、同品种产品、标准诊疗流程或其他具有临床合理性的对照。临床参考标准应为现有条件下能够确定目标状态的最佳方法，可为病理、影像、实验室检查、长期随访、权威诊疗标准或由独立专家组形成的综合判定。申请人应说明参考标准的构建、专家资质、信息来源、盲法、分歧处理和最终判定机制。不同病种或临床任务的参考标准不同时，应分别说明其合理性。</w:t>
      </w:r>
    </w:p>
    <w:p w14:paraId="0F98084F" w14:textId="77777777" w:rsidR="00801DAA" w:rsidRPr="00801DAA" w:rsidRDefault="00801DAA" w:rsidP="00801DAA">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801DAA">
        <w:rPr>
          <w:rFonts w:ascii="Times New Roman" w:eastAsia="楷体_GB2312" w:hAnsi="Times New Roman" w:cs="Times New Roman" w:hint="eastAsia"/>
          <w:color w:val="000000"/>
          <w:sz w:val="32"/>
          <w:szCs w:val="32"/>
        </w:rPr>
        <w:t>（五）偏倚控制和质量控制</w:t>
      </w:r>
    </w:p>
    <w:p w14:paraId="434665E0" w14:textId="56836F54" w:rsidR="00320499" w:rsidRPr="00320499" w:rsidRDefault="00801DAA" w:rsidP="00801DAA">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801DAA">
        <w:rPr>
          <w:rFonts w:ascii="Times New Roman" w:eastAsia="仿宋_GB2312" w:hAnsi="Times New Roman" w:cs="Times New Roman" w:hint="eastAsia"/>
          <w:color w:val="000000"/>
          <w:sz w:val="32"/>
          <w:szCs w:val="32"/>
        </w:rPr>
        <w:lastRenderedPageBreak/>
        <w:t>研究应预先识别并控制选择偏倚、验证偏倚、测量偏倚、观察者偏倚、记忆偏倚、中心效应和时间偏倚。应建立统一的入排标准、数据采集和质控程序、随机或分配规则、盲法安排、培训计划、数据核查和偏离方案处理规则。对同一阅片者或使用者重复参与不同条件评价的研究，应设置合理洗脱期，并避免训练、调优、测试和临床评价病例交叉</w:t>
      </w:r>
      <w:r w:rsidR="00320499" w:rsidRPr="00320499">
        <w:rPr>
          <w:rFonts w:ascii="Times New Roman" w:eastAsia="仿宋_GB2312" w:hAnsi="Times New Roman" w:cs="Times New Roman" w:hint="eastAsia"/>
          <w:color w:val="000000"/>
          <w:sz w:val="32"/>
          <w:szCs w:val="32"/>
        </w:rPr>
        <w:t>。</w:t>
      </w:r>
    </w:p>
    <w:p w14:paraId="7EBF0CA0" w14:textId="4788552A" w:rsidR="00320499" w:rsidRPr="00320499" w:rsidRDefault="00320499" w:rsidP="00320499">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320499">
        <w:rPr>
          <w:rFonts w:ascii="Times New Roman" w:eastAsia="黑体" w:hAnsi="Times New Roman" w:cs="Times New Roman" w:hint="eastAsia"/>
          <w:color w:val="000000"/>
          <w:sz w:val="32"/>
          <w:szCs w:val="32"/>
        </w:rPr>
        <w:t>七、</w:t>
      </w:r>
      <w:r w:rsidR="00801DAA" w:rsidRPr="00801DAA">
        <w:rPr>
          <w:rFonts w:ascii="Times New Roman" w:eastAsia="黑体" w:hAnsi="Times New Roman" w:cs="Times New Roman"/>
          <w:color w:val="000000"/>
          <w:sz w:val="32"/>
          <w:szCs w:val="32"/>
        </w:rPr>
        <w:t>多模态融合的临床评价要求</w:t>
      </w:r>
    </w:p>
    <w:p w14:paraId="0254568E" w14:textId="6F0F4404"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（一）</w:t>
      </w:r>
      <w:r w:rsidR="00801DAA" w:rsidRPr="00801DAA">
        <w:rPr>
          <w:rFonts w:ascii="Times New Roman" w:eastAsia="楷体_GB2312" w:hAnsi="Times New Roman" w:cs="Times New Roman"/>
          <w:color w:val="000000"/>
          <w:sz w:val="32"/>
          <w:szCs w:val="32"/>
        </w:rPr>
        <w:t>模态定义、对齐和临床相关性</w:t>
      </w:r>
    </w:p>
    <w:p w14:paraId="64FD1A5B" w14:textId="77777777" w:rsidR="00801DAA" w:rsidRPr="00801DAA" w:rsidRDefault="00801DAA" w:rsidP="00801DAA">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801DAA">
        <w:rPr>
          <w:rFonts w:ascii="Times New Roman" w:eastAsia="仿宋_GB2312" w:hAnsi="Times New Roman" w:cs="Times New Roman" w:hint="eastAsia"/>
          <w:color w:val="000000"/>
          <w:sz w:val="32"/>
          <w:szCs w:val="32"/>
        </w:rPr>
        <w:t>申请人应明确每一输入模态的数据来源、采集方式、时间窗、患者标识匹配、解剖部位或临床事件对应关系、质量要求和在融合决策中的作用。应说明模态融合相较单一模态或简单组合的临床价值，并通过适当研究证明其不会引入不可接受的错误或偏倚。</w:t>
      </w:r>
    </w:p>
    <w:p w14:paraId="5CE8F018" w14:textId="77777777" w:rsidR="00801DAA" w:rsidRPr="00801DAA" w:rsidRDefault="00801DAA" w:rsidP="00801DAA">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801DAA">
        <w:rPr>
          <w:rFonts w:ascii="Times New Roman" w:eastAsia="楷体_GB2312" w:hAnsi="Times New Roman" w:cs="Times New Roman" w:hint="eastAsia"/>
          <w:color w:val="000000"/>
          <w:sz w:val="32"/>
          <w:szCs w:val="32"/>
        </w:rPr>
        <w:t>（二）模态缺失</w:t>
      </w:r>
    </w:p>
    <w:p w14:paraId="6F4FBD28" w14:textId="77777777" w:rsidR="00801DAA" w:rsidRPr="00801DAA" w:rsidRDefault="00801DAA" w:rsidP="00801DAA">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801DAA">
        <w:rPr>
          <w:rFonts w:ascii="Times New Roman" w:eastAsia="仿宋_GB2312" w:hAnsi="Times New Roman" w:cs="Times New Roman" w:hint="eastAsia"/>
          <w:color w:val="000000"/>
          <w:sz w:val="32"/>
          <w:szCs w:val="32"/>
        </w:rPr>
        <w:t>申请人应明确产品对各模态的必需程度及模态缺失时的处理规则，包括停止输出、降级至单模态或部分模态分析、提示人工补充信息或转入人工流程等。若产品支持缺失模态条件下运行，应分别评价相应输入组合下的性能、置信信息、使用限制和风险控制，且不得将缺失条件下未经充分验证的输出作为确定性临床结论。</w:t>
      </w:r>
    </w:p>
    <w:p w14:paraId="61188BB5" w14:textId="77777777" w:rsidR="00801DAA" w:rsidRPr="00801DAA" w:rsidRDefault="00801DAA" w:rsidP="00801DAA">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801DAA">
        <w:rPr>
          <w:rFonts w:ascii="Times New Roman" w:eastAsia="楷体_GB2312" w:hAnsi="Times New Roman" w:cs="Times New Roman" w:hint="eastAsia"/>
          <w:color w:val="000000"/>
          <w:sz w:val="32"/>
          <w:szCs w:val="32"/>
        </w:rPr>
        <w:t>（三）模态冲突和异常输入</w:t>
      </w:r>
    </w:p>
    <w:p w14:paraId="05B4996A" w14:textId="77777777" w:rsidR="00801DAA" w:rsidRPr="00801DAA" w:rsidRDefault="00801DAA" w:rsidP="00801DAA">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801DAA">
        <w:rPr>
          <w:rFonts w:ascii="Times New Roman" w:eastAsia="仿宋_GB2312" w:hAnsi="Times New Roman" w:cs="Times New Roman" w:hint="eastAsia"/>
          <w:color w:val="000000"/>
          <w:sz w:val="32"/>
          <w:szCs w:val="32"/>
        </w:rPr>
        <w:t>临床评价应覆盖不同模态间时间不一致、患者或部位匹配错误、关键特征矛盾、数据重复、低质量输入、接口字段异常和超出预设范围的数据。应评价产品识别、提示、拒绝或安全降级处理相关情形的能力。对于可能导致错误诊疗提示的冲突或异常输入，应明确人工复核和异常处置要求。</w:t>
      </w:r>
    </w:p>
    <w:p w14:paraId="7C6E383E" w14:textId="77777777" w:rsidR="00801DAA" w:rsidRPr="00801DAA" w:rsidRDefault="00801DAA" w:rsidP="00801DAA">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801DAA">
        <w:rPr>
          <w:rFonts w:ascii="Times New Roman" w:eastAsia="楷体_GB2312" w:hAnsi="Times New Roman" w:cs="Times New Roman" w:hint="eastAsia"/>
          <w:color w:val="000000"/>
          <w:sz w:val="32"/>
          <w:szCs w:val="32"/>
        </w:rPr>
        <w:lastRenderedPageBreak/>
        <w:t>（四）跨设备、跨系统和跨时间验证</w:t>
      </w:r>
    </w:p>
    <w:p w14:paraId="42F266B5" w14:textId="2B70A054" w:rsidR="00320499" w:rsidRPr="00320499" w:rsidRDefault="00801DAA" w:rsidP="00801DAA">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801DAA">
        <w:rPr>
          <w:rFonts w:ascii="Times New Roman" w:eastAsia="仿宋_GB2312" w:hAnsi="Times New Roman" w:cs="Times New Roman" w:hint="eastAsia"/>
          <w:color w:val="000000"/>
          <w:sz w:val="32"/>
          <w:szCs w:val="32"/>
        </w:rPr>
        <w:t>应在具有代表性的设备型号、采集协议、实验室流程、信息系统接口、机构和时间段中评价产品表现。对于临床证据未覆盖的设备、系统或时间窗，申请人应明确兼容性边界和使用限制。外部验证数据应独立于训练和调优数据，并尽可能覆盖不同地域、不同医疗机构、不同设备和不同时间段</w:t>
      </w:r>
      <w:r w:rsidR="00320499" w:rsidRPr="00320499">
        <w:rPr>
          <w:rFonts w:ascii="Times New Roman" w:eastAsia="仿宋_GB2312" w:hAnsi="Times New Roman" w:cs="Times New Roman" w:hint="eastAsia"/>
          <w:color w:val="000000"/>
          <w:sz w:val="32"/>
          <w:szCs w:val="32"/>
        </w:rPr>
        <w:t>。</w:t>
      </w:r>
    </w:p>
    <w:p w14:paraId="685B13F4" w14:textId="0396D07A" w:rsidR="00320499" w:rsidRPr="00320499" w:rsidRDefault="00320499" w:rsidP="00320499">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320499">
        <w:rPr>
          <w:rFonts w:ascii="Times New Roman" w:eastAsia="黑体" w:hAnsi="Times New Roman" w:cs="Times New Roman" w:hint="eastAsia"/>
          <w:color w:val="000000"/>
          <w:sz w:val="32"/>
          <w:szCs w:val="32"/>
        </w:rPr>
        <w:t>八、</w:t>
      </w:r>
      <w:r w:rsidR="00801DAA" w:rsidRPr="00801DAA">
        <w:rPr>
          <w:rFonts w:ascii="Times New Roman" w:eastAsia="黑体" w:hAnsi="Times New Roman" w:cs="Times New Roman"/>
          <w:color w:val="000000"/>
          <w:sz w:val="32"/>
          <w:szCs w:val="32"/>
        </w:rPr>
        <w:t>多病种和亚组的临床证据要求</w:t>
      </w:r>
    </w:p>
    <w:p w14:paraId="36F85B3F" w14:textId="77777777" w:rsidR="00346938" w:rsidRPr="00346938" w:rsidRDefault="00346938" w:rsidP="00346938">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346938">
        <w:rPr>
          <w:rFonts w:ascii="Times New Roman" w:eastAsia="楷体_GB2312" w:hAnsi="Times New Roman" w:cs="Times New Roman" w:hint="eastAsia"/>
          <w:color w:val="000000"/>
          <w:sz w:val="32"/>
          <w:szCs w:val="32"/>
        </w:rPr>
        <w:t>（一）病种级和任务级证据</w:t>
      </w:r>
    </w:p>
    <w:p w14:paraId="70D15228" w14:textId="77777777" w:rsidR="00346938" w:rsidRPr="00346938" w:rsidRDefault="00346938" w:rsidP="00346938">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46938">
        <w:rPr>
          <w:rFonts w:ascii="Times New Roman" w:eastAsia="仿宋_GB2312" w:hAnsi="Times New Roman" w:cs="Times New Roman" w:hint="eastAsia"/>
          <w:color w:val="000000"/>
          <w:sz w:val="32"/>
          <w:szCs w:val="32"/>
        </w:rPr>
        <w:t>每一核心病种或临床任务均应具有与其临床风险相匹配的参考标准、样本量、评价指标和临床证据。申请人应分别报告病种级结果、置信区间和临床局限。对于同一病种内存在不同分型、分期、严重程度、合并症或关键临床亚型的，应根据风险和临床意义进行必要的分层评价。</w:t>
      </w:r>
    </w:p>
    <w:p w14:paraId="2949B34E" w14:textId="77777777" w:rsidR="00346938" w:rsidRPr="00346938" w:rsidRDefault="00346938" w:rsidP="00346938">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346938">
        <w:rPr>
          <w:rFonts w:ascii="Times New Roman" w:eastAsia="楷体_GB2312" w:hAnsi="Times New Roman" w:cs="Times New Roman" w:hint="eastAsia"/>
          <w:color w:val="000000"/>
          <w:sz w:val="32"/>
          <w:szCs w:val="32"/>
        </w:rPr>
        <w:t>（二）长尾病种和少数亚组</w:t>
      </w:r>
    </w:p>
    <w:p w14:paraId="0B708B09" w14:textId="77777777" w:rsidR="00346938" w:rsidRPr="00346938" w:rsidRDefault="00346938" w:rsidP="00346938">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46938">
        <w:rPr>
          <w:rFonts w:ascii="Times New Roman" w:eastAsia="仿宋_GB2312" w:hAnsi="Times New Roman" w:cs="Times New Roman" w:hint="eastAsia"/>
          <w:color w:val="000000"/>
          <w:sz w:val="32"/>
          <w:szCs w:val="32"/>
        </w:rPr>
        <w:t>对于样本量较少、罕见或临床后果严重的病种及亚组，申请人应说明样本获取困难、证据不确定性及其对结论的影响。不得以常见病种的总体表现推定长尾病种或少数亚组的安全有效性。可结合多中心协作、前瞻性补充、真实世界数据和上市后研究积累证据，但应在说明书中清晰表述现阶段使用边界。</w:t>
      </w:r>
    </w:p>
    <w:p w14:paraId="7792879F" w14:textId="77777777" w:rsidR="00346938" w:rsidRPr="00346938" w:rsidRDefault="00346938" w:rsidP="00346938">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346938">
        <w:rPr>
          <w:rFonts w:ascii="Times New Roman" w:eastAsia="楷体_GB2312" w:hAnsi="Times New Roman" w:cs="Times New Roman" w:hint="eastAsia"/>
          <w:color w:val="000000"/>
          <w:sz w:val="32"/>
          <w:szCs w:val="32"/>
        </w:rPr>
        <w:t>（三）亚组公平性</w:t>
      </w:r>
    </w:p>
    <w:p w14:paraId="492B6FBD" w14:textId="4B69D72C" w:rsidR="004E6461" w:rsidRDefault="00346938" w:rsidP="00346938">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46938">
        <w:rPr>
          <w:rFonts w:ascii="Times New Roman" w:eastAsia="仿宋_GB2312" w:hAnsi="Times New Roman" w:cs="Times New Roman" w:hint="eastAsia"/>
          <w:color w:val="000000"/>
          <w:sz w:val="32"/>
          <w:szCs w:val="32"/>
        </w:rPr>
        <w:t>申请人应依据预期用途和已知风险，按年龄、性别、地域、医疗机构层级、疾病严重程度、共病情况、设备类型、数据质量和其他可能影响临床表现的因素开展亚组分析。对关键亚组应预先设定评价目标或可接受标准。发现具有临床意义的性能差异时，应分析原因，采取数据、模型、界面、使用限制或人工复核等相应控制措施。</w:t>
      </w:r>
    </w:p>
    <w:p w14:paraId="5952B3DC" w14:textId="77777777" w:rsidR="00346938" w:rsidRPr="00346938" w:rsidRDefault="00346938" w:rsidP="00346938">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346938">
        <w:rPr>
          <w:rFonts w:ascii="Times New Roman" w:eastAsia="黑体" w:hAnsi="Times New Roman" w:cs="Times New Roman" w:hint="eastAsia"/>
          <w:color w:val="000000"/>
          <w:sz w:val="32"/>
          <w:szCs w:val="32"/>
        </w:rPr>
        <w:lastRenderedPageBreak/>
        <w:t>九、评价指标、样本量和统计分析</w:t>
      </w:r>
    </w:p>
    <w:p w14:paraId="54CAE725" w14:textId="77777777" w:rsidR="00346938" w:rsidRPr="00346938" w:rsidRDefault="00346938" w:rsidP="00346938">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346938">
        <w:rPr>
          <w:rFonts w:ascii="Times New Roman" w:eastAsia="楷体_GB2312" w:hAnsi="Times New Roman" w:cs="Times New Roman" w:hint="eastAsia"/>
          <w:color w:val="000000"/>
          <w:sz w:val="32"/>
          <w:szCs w:val="32"/>
        </w:rPr>
        <w:t>（一）评价指标</w:t>
      </w:r>
    </w:p>
    <w:p w14:paraId="071269AF" w14:textId="77777777" w:rsidR="00346938" w:rsidRPr="00346938" w:rsidRDefault="00346938" w:rsidP="00346938">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46938">
        <w:rPr>
          <w:rFonts w:ascii="Times New Roman" w:eastAsia="仿宋_GB2312" w:hAnsi="Times New Roman" w:cs="Times New Roman" w:hint="eastAsia"/>
          <w:color w:val="000000"/>
          <w:sz w:val="32"/>
          <w:szCs w:val="32"/>
        </w:rPr>
        <w:t>主要评价指标应结合产品预期用途、病种特点、临床任务和临床后果确定。诊断或识别类功能可考虑灵敏度、特异度、阳性和阴性一致率、</w:t>
      </w:r>
      <w:r w:rsidRPr="00346938">
        <w:rPr>
          <w:rFonts w:ascii="Times New Roman" w:eastAsia="仿宋_GB2312" w:hAnsi="Times New Roman" w:cs="Times New Roman" w:hint="eastAsia"/>
          <w:color w:val="000000"/>
          <w:sz w:val="32"/>
          <w:szCs w:val="32"/>
        </w:rPr>
        <w:t>ROC</w:t>
      </w:r>
      <w:r w:rsidRPr="00346938">
        <w:rPr>
          <w:rFonts w:ascii="Times New Roman" w:eastAsia="仿宋_GB2312" w:hAnsi="Times New Roman" w:cs="Times New Roman" w:hint="eastAsia"/>
          <w:color w:val="000000"/>
          <w:sz w:val="32"/>
          <w:szCs w:val="32"/>
        </w:rPr>
        <w:t>或其衍生指标等；定量或预测类功能可考虑一致性、校准度、误差、相关性或临床获益相关指标。涉及人机协同的功能，还应根据临床目的评价阅片或处置效率、诊断一致性、人工推翻、告警负担、可用性和安全事件等。</w:t>
      </w:r>
    </w:p>
    <w:p w14:paraId="686D1FFC" w14:textId="77777777" w:rsidR="00346938" w:rsidRPr="00346938" w:rsidRDefault="00346938" w:rsidP="00346938">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346938">
        <w:rPr>
          <w:rFonts w:ascii="Times New Roman" w:eastAsia="楷体_GB2312" w:hAnsi="Times New Roman" w:cs="Times New Roman" w:hint="eastAsia"/>
          <w:color w:val="000000"/>
          <w:sz w:val="32"/>
          <w:szCs w:val="32"/>
        </w:rPr>
        <w:t>（二）样本量</w:t>
      </w:r>
    </w:p>
    <w:p w14:paraId="3D70F657" w14:textId="77777777" w:rsidR="00346938" w:rsidRPr="00346938" w:rsidRDefault="00346938" w:rsidP="00346938">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46938">
        <w:rPr>
          <w:rFonts w:ascii="Times New Roman" w:eastAsia="仿宋_GB2312" w:hAnsi="Times New Roman" w:cs="Times New Roman" w:hint="eastAsia"/>
          <w:color w:val="000000"/>
          <w:sz w:val="32"/>
          <w:szCs w:val="32"/>
        </w:rPr>
        <w:t>样本量估算应基于主要评价指标、研究设计、预期效应、优效或非劣效界值、显著性水平、检验效能、病种和亚组构成、中心效应、阅片者数量、脱落或剔除比例等因素确定。多病种产品应避免以总样本量掩盖关键病种或关键亚组样本不足；各核心适应证应具有能够支持相应结论的样本量依据。</w:t>
      </w:r>
    </w:p>
    <w:p w14:paraId="31A741BF" w14:textId="77777777" w:rsidR="00346938" w:rsidRPr="00346938" w:rsidRDefault="00346938" w:rsidP="00346938">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346938">
        <w:rPr>
          <w:rFonts w:ascii="Times New Roman" w:eastAsia="楷体_GB2312" w:hAnsi="Times New Roman" w:cs="Times New Roman" w:hint="eastAsia"/>
          <w:color w:val="000000"/>
          <w:sz w:val="32"/>
          <w:szCs w:val="32"/>
        </w:rPr>
        <w:t>（三）统计分析</w:t>
      </w:r>
    </w:p>
    <w:p w14:paraId="78920391" w14:textId="77777777" w:rsidR="00346938" w:rsidRPr="00346938" w:rsidRDefault="00346938" w:rsidP="00346938">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46938">
        <w:rPr>
          <w:rFonts w:ascii="Times New Roman" w:eastAsia="仿宋_GB2312" w:hAnsi="Times New Roman" w:cs="Times New Roman" w:hint="eastAsia"/>
          <w:color w:val="000000"/>
          <w:sz w:val="32"/>
          <w:szCs w:val="32"/>
        </w:rPr>
        <w:t>统计分析计划应在研究前制定，明确分析集、主要和次要终点、缺失数据处理、多重比较、中心效应、设备效应、亚组分析、敏感性分析和偏倚控制方法。报告应按病种、任务、模态完整性、机构、设备、人群和时间段等预设分层提供结果及置信区间。使用真实世界数据进行补充评价时，应说明数据相关性和可靠性，并采取适当的设计或统计方法控制混杂和偏倚。</w:t>
      </w:r>
    </w:p>
    <w:p w14:paraId="149FC0F3" w14:textId="77777777" w:rsidR="00346938" w:rsidRPr="00346938" w:rsidRDefault="00346938" w:rsidP="00346938">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346938">
        <w:rPr>
          <w:rFonts w:ascii="Times New Roman" w:eastAsia="黑体" w:hAnsi="Times New Roman" w:cs="Times New Roman" w:hint="eastAsia"/>
          <w:color w:val="000000"/>
          <w:sz w:val="32"/>
          <w:szCs w:val="32"/>
        </w:rPr>
        <w:t>十、临床工作流、人因和本地适配</w:t>
      </w:r>
    </w:p>
    <w:p w14:paraId="4FB9D3B6" w14:textId="77777777" w:rsidR="00346938" w:rsidRPr="00346938" w:rsidRDefault="00346938" w:rsidP="00346938">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346938">
        <w:rPr>
          <w:rFonts w:ascii="Times New Roman" w:eastAsia="楷体_GB2312" w:hAnsi="Times New Roman" w:cs="Times New Roman" w:hint="eastAsia"/>
          <w:color w:val="000000"/>
          <w:sz w:val="32"/>
          <w:szCs w:val="32"/>
        </w:rPr>
        <w:t>（一）临床工作流增益与风险</w:t>
      </w:r>
    </w:p>
    <w:p w14:paraId="26FBD81E" w14:textId="77777777" w:rsidR="00346938" w:rsidRPr="00346938" w:rsidRDefault="00346938" w:rsidP="00346938">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46938">
        <w:rPr>
          <w:rFonts w:ascii="Times New Roman" w:eastAsia="仿宋_GB2312" w:hAnsi="Times New Roman" w:cs="Times New Roman" w:hint="eastAsia"/>
          <w:color w:val="000000"/>
          <w:sz w:val="32"/>
          <w:szCs w:val="32"/>
        </w:rPr>
        <w:t>临床评价应说明产品嵌入临床流程的方式，并评价其对诊断或处置效率、信息整合、资源利用、告警负担、人工复核和患者安全的影响。不得仅以减少操作时间作为临床获益结论，而</w:t>
      </w:r>
      <w:r w:rsidRPr="00346938">
        <w:rPr>
          <w:rFonts w:ascii="Times New Roman" w:eastAsia="仿宋_GB2312" w:hAnsi="Times New Roman" w:cs="Times New Roman" w:hint="eastAsia"/>
          <w:color w:val="000000"/>
          <w:sz w:val="32"/>
          <w:szCs w:val="32"/>
        </w:rPr>
        <w:lastRenderedPageBreak/>
        <w:t>应同时确认不会造成准确性下降、关键风险遗漏、过度依赖或不合理的临床流程改变。</w:t>
      </w:r>
    </w:p>
    <w:p w14:paraId="269EB910" w14:textId="77777777" w:rsidR="00346938" w:rsidRPr="00346938" w:rsidRDefault="00346938" w:rsidP="00346938">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346938">
        <w:rPr>
          <w:rFonts w:ascii="Times New Roman" w:eastAsia="楷体_GB2312" w:hAnsi="Times New Roman" w:cs="Times New Roman" w:hint="eastAsia"/>
          <w:color w:val="000000"/>
          <w:sz w:val="32"/>
          <w:szCs w:val="32"/>
        </w:rPr>
        <w:t>（二）人工复核和故障切换</w:t>
      </w:r>
    </w:p>
    <w:p w14:paraId="322E5D33" w14:textId="77777777" w:rsidR="00346938" w:rsidRPr="00346938" w:rsidRDefault="00346938" w:rsidP="00346938">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46938">
        <w:rPr>
          <w:rFonts w:ascii="Times New Roman" w:eastAsia="仿宋_GB2312" w:hAnsi="Times New Roman" w:cs="Times New Roman" w:hint="eastAsia"/>
          <w:color w:val="000000"/>
          <w:sz w:val="32"/>
          <w:szCs w:val="32"/>
        </w:rPr>
        <w:t>产品应明确目标用户、培训要求、人工复核节点、复核内容、权限设置、人工推翻或修正的记录方式，以及产品不可用、输入异常或接口故障时切换至人工流程的机制。应评价不同资历用户在使用产品时的表现差异，避免将算法输出误解为确定性临床结论。</w:t>
      </w:r>
    </w:p>
    <w:p w14:paraId="37BA44D2" w14:textId="77777777" w:rsidR="00346938" w:rsidRPr="00346938" w:rsidRDefault="00346938" w:rsidP="00346938">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346938">
        <w:rPr>
          <w:rFonts w:ascii="Times New Roman" w:eastAsia="楷体_GB2312" w:hAnsi="Times New Roman" w:cs="Times New Roman" w:hint="eastAsia"/>
          <w:color w:val="000000"/>
          <w:sz w:val="32"/>
          <w:szCs w:val="32"/>
        </w:rPr>
        <w:t>（三）本地适配和本地验证</w:t>
      </w:r>
    </w:p>
    <w:p w14:paraId="7FEEF737" w14:textId="77777777" w:rsidR="00346938" w:rsidRPr="00346938" w:rsidRDefault="00346938" w:rsidP="00346938">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46938">
        <w:rPr>
          <w:rFonts w:ascii="Times New Roman" w:eastAsia="仿宋_GB2312" w:hAnsi="Times New Roman" w:cs="Times New Roman" w:hint="eastAsia"/>
          <w:color w:val="000000"/>
          <w:sz w:val="32"/>
          <w:szCs w:val="32"/>
        </w:rPr>
        <w:t>医疗机构部署前，应结合产品说明书和实际条件开展必要的本地验证，确认设备、信息系统、数据字段、接口映射、输入质量、工作流、用户培训和人工复核安排与产品要求一致。若本地条件与临床证据覆盖范围存在实质差异，应补充验证、限制使用范围或不予部署。注册人应提供本地验证所需的输入条件、性能确认要点、版本信息、异常处置和反馈要求。</w:t>
      </w:r>
    </w:p>
    <w:p w14:paraId="0D8EEB66" w14:textId="77777777" w:rsidR="00346938" w:rsidRPr="00346938" w:rsidRDefault="00346938" w:rsidP="00346938">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346938">
        <w:rPr>
          <w:rFonts w:ascii="Times New Roman" w:eastAsia="楷体_GB2312" w:hAnsi="Times New Roman" w:cs="Times New Roman" w:hint="eastAsia"/>
          <w:color w:val="000000"/>
          <w:sz w:val="32"/>
          <w:szCs w:val="32"/>
        </w:rPr>
        <w:t>（四）使用限制</w:t>
      </w:r>
    </w:p>
    <w:p w14:paraId="3EE9699E" w14:textId="77777777" w:rsidR="00346938" w:rsidRPr="00346938" w:rsidRDefault="00346938" w:rsidP="00346938">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46938">
        <w:rPr>
          <w:rFonts w:ascii="Times New Roman" w:eastAsia="仿宋_GB2312" w:hAnsi="Times New Roman" w:cs="Times New Roman" w:hint="eastAsia"/>
          <w:color w:val="000000"/>
          <w:sz w:val="32"/>
          <w:szCs w:val="32"/>
        </w:rPr>
        <w:t>说明书、用户界面和培训材料应明确适应证分层、可接受的输入模态与质量条件、适用设备和系统、目标用户、人工复核要求、已知性能局限、禁止或慎用场景、异常输入处理和故障切换方式。对探索性功能、长尾病种、未覆盖设备或缺失模态条件下证据不足的情形，应作出清晰、可执行的限制。</w:t>
      </w:r>
    </w:p>
    <w:p w14:paraId="1B85A9C4" w14:textId="77777777" w:rsidR="00346938" w:rsidRPr="00346938" w:rsidRDefault="00346938" w:rsidP="00346938">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346938">
        <w:rPr>
          <w:rFonts w:ascii="Times New Roman" w:eastAsia="黑体" w:hAnsi="Times New Roman" w:cs="Times New Roman" w:hint="eastAsia"/>
          <w:color w:val="000000"/>
          <w:sz w:val="32"/>
          <w:szCs w:val="32"/>
        </w:rPr>
        <w:t>十一、上市后临床性能跟踪</w:t>
      </w:r>
    </w:p>
    <w:p w14:paraId="71CE9619" w14:textId="77777777" w:rsidR="00346938" w:rsidRPr="00346938" w:rsidRDefault="00346938" w:rsidP="00346938">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46938">
        <w:rPr>
          <w:rFonts w:ascii="Times New Roman" w:eastAsia="仿宋_GB2312" w:hAnsi="Times New Roman" w:cs="Times New Roman" w:hint="eastAsia"/>
          <w:color w:val="000000"/>
          <w:sz w:val="32"/>
          <w:szCs w:val="32"/>
        </w:rPr>
        <w:t>申请人应依据核心适应证和产品风险建立上市后临床性能跟踪安排，关注病种级、亚组级、设备级和模态完整性相关的性能趋势，以及异常输入、人工推翻、告警负担、投诉、不良事件和本地部署问题。真实世界数据可作为上市后临床证据的重要</w:t>
      </w:r>
      <w:r w:rsidRPr="00346938">
        <w:rPr>
          <w:rFonts w:ascii="Times New Roman" w:eastAsia="仿宋_GB2312" w:hAnsi="Times New Roman" w:cs="Times New Roman" w:hint="eastAsia"/>
          <w:color w:val="000000"/>
          <w:sz w:val="32"/>
          <w:szCs w:val="32"/>
        </w:rPr>
        <w:lastRenderedPageBreak/>
        <w:t>来源，但不应替代高风险核心适应证所需的上市前安全有效性证明。</w:t>
      </w:r>
    </w:p>
    <w:p w14:paraId="44F30CD3" w14:textId="1D612B61" w:rsidR="00346938" w:rsidRDefault="00346938" w:rsidP="00346938">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46938">
        <w:rPr>
          <w:rFonts w:ascii="Times New Roman" w:eastAsia="仿宋_GB2312" w:hAnsi="Times New Roman" w:cs="Times New Roman" w:hint="eastAsia"/>
          <w:color w:val="000000"/>
          <w:sz w:val="32"/>
          <w:szCs w:val="32"/>
        </w:rPr>
        <w:t>对于模型、融合逻辑、适应证范围、关键输入模态、设备兼容性或部署环境发生变化的，应开展相应影响分析和验证。发现性能漂移、特定亚组表现下降、模态异常处理失效或其他可能影响安全有效性的信号时，应及时采取补充验证、使用限制、版本回退、暂停相关功能或其他风险控制措施。</w:t>
      </w:r>
    </w:p>
    <w:p w14:paraId="1A8E3A09" w14:textId="77777777" w:rsidR="00346938" w:rsidRDefault="00346938" w:rsidP="00346938">
      <w:pPr>
        <w:adjustRightInd w:val="0"/>
        <w:snapToGrid w:val="0"/>
        <w:spacing w:line="520" w:lineRule="exact"/>
        <w:ind w:firstLineChars="200" w:firstLine="640"/>
        <w:rPr>
          <w:rFonts w:ascii="Times New Roman" w:eastAsia="仿宋_GB2312" w:hAnsi="Times New Roman" w:cs="Times New Roman"/>
          <w:color w:val="000000"/>
          <w:sz w:val="32"/>
          <w:szCs w:val="32"/>
        </w:rPr>
      </w:pPr>
    </w:p>
    <w:p w14:paraId="26528E02" w14:textId="77777777" w:rsidR="00346938" w:rsidRPr="00320499" w:rsidRDefault="00346938" w:rsidP="00346938">
      <w:pPr>
        <w:adjustRightInd w:val="0"/>
        <w:snapToGrid w:val="0"/>
        <w:spacing w:line="520" w:lineRule="exact"/>
        <w:ind w:firstLineChars="200" w:firstLine="640"/>
        <w:rPr>
          <w:rFonts w:ascii="Times New Roman" w:eastAsia="仿宋_GB2312" w:hAnsi="Times New Roman" w:cs="Times New Roman"/>
          <w:color w:val="000000"/>
          <w:sz w:val="32"/>
          <w:szCs w:val="32"/>
        </w:rPr>
      </w:pPr>
    </w:p>
    <w:p w14:paraId="005AD308" w14:textId="4379BBB5" w:rsidR="00320499" w:rsidRPr="00320499" w:rsidRDefault="00320499" w:rsidP="00320499">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320499">
        <w:rPr>
          <w:rFonts w:ascii="Times New Roman" w:eastAsia="黑体" w:hAnsi="Times New Roman" w:cs="Times New Roman" w:hint="eastAsia"/>
          <w:color w:val="000000"/>
          <w:sz w:val="32"/>
          <w:szCs w:val="32"/>
        </w:rPr>
        <w:t>附录</w:t>
      </w:r>
      <w:r w:rsidR="00990459">
        <w:rPr>
          <w:rFonts w:ascii="Times New Roman" w:eastAsia="黑体" w:hAnsi="Times New Roman" w:cs="Times New Roman" w:hint="eastAsia"/>
          <w:color w:val="000000"/>
          <w:sz w:val="32"/>
          <w:szCs w:val="32"/>
        </w:rPr>
        <w:t>A</w:t>
      </w:r>
      <w:r w:rsidRPr="00320499">
        <w:rPr>
          <w:rFonts w:ascii="Times New Roman" w:eastAsia="黑体" w:hAnsi="Times New Roman" w:cs="Times New Roman" w:hint="eastAsia"/>
          <w:color w:val="000000"/>
          <w:sz w:val="32"/>
          <w:szCs w:val="32"/>
        </w:rPr>
        <w:t xml:space="preserve"> </w:t>
      </w:r>
      <w:r w:rsidR="00346938">
        <w:rPr>
          <w:rFonts w:ascii="Times New Roman" w:eastAsia="黑体" w:hAnsi="Times New Roman" w:cs="Times New Roman" w:hint="eastAsia"/>
          <w:color w:val="000000"/>
          <w:sz w:val="32"/>
          <w:szCs w:val="32"/>
        </w:rPr>
        <w:t>临床</w:t>
      </w:r>
      <w:r w:rsidRPr="00320499">
        <w:rPr>
          <w:rFonts w:ascii="Times New Roman" w:eastAsia="黑体" w:hAnsi="Times New Roman" w:cs="Times New Roman" w:hint="eastAsia"/>
          <w:color w:val="000000"/>
          <w:sz w:val="32"/>
          <w:szCs w:val="32"/>
        </w:rPr>
        <w:t>评价申报资料建议清单</w:t>
      </w:r>
    </w:p>
    <w:tbl>
      <w:tblPr>
        <w:tblStyle w:val="af3"/>
        <w:tblW w:w="9360" w:type="dxa"/>
        <w:tblInd w:w="120" w:type="dxa"/>
        <w:tblLayout w:type="fixed"/>
        <w:tblLook w:val="04A0" w:firstRow="1" w:lastRow="0" w:firstColumn="1" w:lastColumn="0" w:noHBand="0" w:noVBand="1"/>
      </w:tblPr>
      <w:tblGrid>
        <w:gridCol w:w="2427"/>
        <w:gridCol w:w="6933"/>
      </w:tblGrid>
      <w:tr w:rsidR="00320499" w:rsidRPr="004E6461" w14:paraId="5F7E8933" w14:textId="77777777" w:rsidTr="00346938">
        <w:tc>
          <w:tcPr>
            <w:tcW w:w="2427" w:type="dxa"/>
            <w:tcMar>
              <w:top w:w="80" w:type="dxa"/>
              <w:left w:w="120" w:type="dxa"/>
              <w:bottom w:w="80" w:type="dxa"/>
              <w:right w:w="120" w:type="dxa"/>
            </w:tcMar>
            <w:vAlign w:val="center"/>
          </w:tcPr>
          <w:p w14:paraId="03468499" w14:textId="77777777" w:rsidR="00320499" w:rsidRPr="004E6461" w:rsidRDefault="00320499" w:rsidP="00346938">
            <w:pPr>
              <w:adjustRightInd w:val="0"/>
              <w:snapToGrid w:val="0"/>
              <w:jc w:val="center"/>
              <w:rPr>
                <w:rFonts w:ascii="Times New Roman" w:eastAsia="仿宋_GB2312" w:hAnsi="Times New Roman" w:cs="Times New Roman"/>
                <w:color w:val="000000"/>
                <w:sz w:val="28"/>
                <w:szCs w:val="28"/>
              </w:rPr>
            </w:pPr>
            <w:r w:rsidRPr="004E6461">
              <w:rPr>
                <w:rFonts w:ascii="Times New Roman" w:eastAsia="仿宋_GB2312" w:hAnsi="Times New Roman" w:cs="Times New Roman"/>
                <w:b/>
                <w:color w:val="000000"/>
                <w:sz w:val="28"/>
                <w:szCs w:val="28"/>
              </w:rPr>
              <w:t>资料类别</w:t>
            </w:r>
          </w:p>
        </w:tc>
        <w:tc>
          <w:tcPr>
            <w:tcW w:w="6933" w:type="dxa"/>
            <w:tcMar>
              <w:top w:w="80" w:type="dxa"/>
              <w:left w:w="120" w:type="dxa"/>
              <w:bottom w:w="80" w:type="dxa"/>
              <w:right w:w="120" w:type="dxa"/>
            </w:tcMar>
            <w:vAlign w:val="center"/>
          </w:tcPr>
          <w:p w14:paraId="43599A3A" w14:textId="77777777" w:rsidR="00320499" w:rsidRPr="004E6461" w:rsidRDefault="00320499" w:rsidP="00346938">
            <w:pPr>
              <w:adjustRightInd w:val="0"/>
              <w:snapToGrid w:val="0"/>
              <w:jc w:val="center"/>
              <w:rPr>
                <w:rFonts w:ascii="Times New Roman" w:eastAsia="仿宋_GB2312" w:hAnsi="Times New Roman" w:cs="Times New Roman"/>
                <w:color w:val="000000"/>
                <w:sz w:val="28"/>
                <w:szCs w:val="28"/>
              </w:rPr>
            </w:pPr>
            <w:r w:rsidRPr="004E6461">
              <w:rPr>
                <w:rFonts w:ascii="Times New Roman" w:eastAsia="仿宋_GB2312" w:hAnsi="Times New Roman" w:cs="Times New Roman"/>
                <w:b/>
                <w:color w:val="000000"/>
                <w:sz w:val="28"/>
                <w:szCs w:val="28"/>
              </w:rPr>
              <w:t>建议提交内容</w:t>
            </w:r>
          </w:p>
        </w:tc>
      </w:tr>
      <w:tr w:rsidR="00346938" w:rsidRPr="004E6461" w14:paraId="409B11D7" w14:textId="77777777" w:rsidTr="00346938">
        <w:tc>
          <w:tcPr>
            <w:tcW w:w="2427" w:type="dxa"/>
          </w:tcPr>
          <w:p w14:paraId="14624A1D" w14:textId="0CE4621E" w:rsidR="00346938" w:rsidRPr="00990459" w:rsidRDefault="00346938" w:rsidP="00346938">
            <w:pPr>
              <w:adjustRightInd w:val="0"/>
              <w:snapToGrid w:val="0"/>
              <w:rPr>
                <w:rFonts w:ascii="Times New Roman" w:eastAsia="仿宋_GB2312" w:hAnsi="Times New Roman" w:cs="Times New Roman"/>
                <w:color w:val="000000"/>
                <w:sz w:val="28"/>
                <w:szCs w:val="28"/>
              </w:rPr>
            </w:pPr>
            <w:r w:rsidRPr="00990459">
              <w:rPr>
                <w:rFonts w:ascii="Times New Roman" w:eastAsia="仿宋_GB2312" w:hAnsi="Times New Roman" w:cs="Times New Roman" w:hint="eastAsia"/>
                <w:color w:val="000000"/>
                <w:sz w:val="28"/>
                <w:szCs w:val="28"/>
              </w:rPr>
              <w:t>产品与适应证资料</w:t>
            </w:r>
          </w:p>
        </w:tc>
        <w:tc>
          <w:tcPr>
            <w:tcW w:w="6933" w:type="dxa"/>
          </w:tcPr>
          <w:p w14:paraId="19C1F32F" w14:textId="589AD329" w:rsidR="00346938" w:rsidRPr="00990459" w:rsidRDefault="00346938" w:rsidP="00346938">
            <w:pPr>
              <w:adjustRightInd w:val="0"/>
              <w:snapToGrid w:val="0"/>
              <w:rPr>
                <w:rFonts w:ascii="Times New Roman" w:eastAsia="仿宋_GB2312" w:hAnsi="Times New Roman" w:cs="Times New Roman"/>
                <w:color w:val="000000"/>
                <w:sz w:val="28"/>
                <w:szCs w:val="28"/>
              </w:rPr>
            </w:pPr>
            <w:r w:rsidRPr="00990459">
              <w:rPr>
                <w:rFonts w:ascii="Times New Roman" w:eastAsia="仿宋_GB2312" w:hAnsi="Times New Roman" w:cs="Times New Roman" w:hint="eastAsia"/>
                <w:color w:val="000000"/>
                <w:sz w:val="28"/>
                <w:szCs w:val="28"/>
              </w:rPr>
              <w:t>产品预期用途、核心</w:t>
            </w:r>
            <w:r w:rsidRPr="00990459">
              <w:rPr>
                <w:rFonts w:ascii="Times New Roman" w:eastAsia="仿宋_GB2312" w:hAnsi="Times New Roman" w:cs="Times New Roman" w:hint="eastAsia"/>
                <w:color w:val="000000"/>
                <w:sz w:val="28"/>
                <w:szCs w:val="28"/>
              </w:rPr>
              <w:t>/</w:t>
            </w:r>
            <w:r w:rsidRPr="00990459">
              <w:rPr>
                <w:rFonts w:ascii="Times New Roman" w:eastAsia="仿宋_GB2312" w:hAnsi="Times New Roman" w:cs="Times New Roman" w:hint="eastAsia"/>
                <w:color w:val="000000"/>
                <w:sz w:val="28"/>
                <w:szCs w:val="28"/>
              </w:rPr>
              <w:t>扩展</w:t>
            </w:r>
            <w:r w:rsidRPr="00990459">
              <w:rPr>
                <w:rFonts w:ascii="Times New Roman" w:eastAsia="仿宋_GB2312" w:hAnsi="Times New Roman" w:cs="Times New Roman" w:hint="eastAsia"/>
                <w:color w:val="000000"/>
                <w:sz w:val="28"/>
                <w:szCs w:val="28"/>
              </w:rPr>
              <w:t>/</w:t>
            </w:r>
            <w:r w:rsidRPr="00990459">
              <w:rPr>
                <w:rFonts w:ascii="Times New Roman" w:eastAsia="仿宋_GB2312" w:hAnsi="Times New Roman" w:cs="Times New Roman" w:hint="eastAsia"/>
                <w:color w:val="000000"/>
                <w:sz w:val="28"/>
                <w:szCs w:val="28"/>
              </w:rPr>
              <w:t>探索性功能清单、目标用户与人群、输入模态、输出、工作流和使用限制。</w:t>
            </w:r>
          </w:p>
        </w:tc>
      </w:tr>
      <w:tr w:rsidR="00346938" w:rsidRPr="004E6461" w14:paraId="01A4E09D" w14:textId="77777777" w:rsidTr="00346938">
        <w:tc>
          <w:tcPr>
            <w:tcW w:w="2427" w:type="dxa"/>
          </w:tcPr>
          <w:p w14:paraId="18082EB0" w14:textId="113AA681" w:rsidR="00346938" w:rsidRPr="00990459" w:rsidRDefault="00346938" w:rsidP="00346938">
            <w:pPr>
              <w:adjustRightInd w:val="0"/>
              <w:snapToGrid w:val="0"/>
              <w:rPr>
                <w:rFonts w:ascii="Times New Roman" w:eastAsia="仿宋_GB2312" w:hAnsi="Times New Roman" w:cs="Times New Roman"/>
                <w:color w:val="000000"/>
                <w:sz w:val="28"/>
                <w:szCs w:val="28"/>
              </w:rPr>
            </w:pPr>
            <w:r w:rsidRPr="00990459">
              <w:rPr>
                <w:rFonts w:ascii="Times New Roman" w:eastAsia="仿宋_GB2312" w:hAnsi="Times New Roman" w:cs="Times New Roman" w:hint="eastAsia"/>
                <w:color w:val="000000"/>
                <w:sz w:val="28"/>
                <w:szCs w:val="28"/>
              </w:rPr>
              <w:t>数据与模型资料</w:t>
            </w:r>
          </w:p>
        </w:tc>
        <w:tc>
          <w:tcPr>
            <w:tcW w:w="6933" w:type="dxa"/>
          </w:tcPr>
          <w:p w14:paraId="0CF3D7A7" w14:textId="62EEEBA4" w:rsidR="00346938" w:rsidRPr="00990459" w:rsidRDefault="00346938" w:rsidP="00346938">
            <w:pPr>
              <w:adjustRightInd w:val="0"/>
              <w:snapToGrid w:val="0"/>
              <w:rPr>
                <w:rFonts w:ascii="Times New Roman" w:eastAsia="仿宋_GB2312" w:hAnsi="Times New Roman" w:cs="Times New Roman"/>
                <w:color w:val="000000"/>
                <w:sz w:val="28"/>
                <w:szCs w:val="28"/>
              </w:rPr>
            </w:pPr>
            <w:r w:rsidRPr="00990459">
              <w:rPr>
                <w:rFonts w:ascii="Times New Roman" w:eastAsia="仿宋_GB2312" w:hAnsi="Times New Roman" w:cs="Times New Roman" w:hint="eastAsia"/>
                <w:color w:val="000000"/>
                <w:sz w:val="28"/>
                <w:szCs w:val="28"/>
              </w:rPr>
              <w:t>数据来源和代表性、模态对齐、标注和参考标准、融合逻辑、版本、训练</w:t>
            </w:r>
            <w:r w:rsidRPr="00990459">
              <w:rPr>
                <w:rFonts w:ascii="Times New Roman" w:eastAsia="仿宋_GB2312" w:hAnsi="Times New Roman" w:cs="Times New Roman" w:hint="eastAsia"/>
                <w:color w:val="000000"/>
                <w:sz w:val="28"/>
                <w:szCs w:val="28"/>
              </w:rPr>
              <w:t>/</w:t>
            </w:r>
            <w:r w:rsidRPr="00990459">
              <w:rPr>
                <w:rFonts w:ascii="Times New Roman" w:eastAsia="仿宋_GB2312" w:hAnsi="Times New Roman" w:cs="Times New Roman" w:hint="eastAsia"/>
                <w:color w:val="000000"/>
                <w:sz w:val="28"/>
                <w:szCs w:val="28"/>
              </w:rPr>
              <w:t>调优</w:t>
            </w:r>
            <w:r w:rsidRPr="00990459">
              <w:rPr>
                <w:rFonts w:ascii="Times New Roman" w:eastAsia="仿宋_GB2312" w:hAnsi="Times New Roman" w:cs="Times New Roman" w:hint="eastAsia"/>
                <w:color w:val="000000"/>
                <w:sz w:val="28"/>
                <w:szCs w:val="28"/>
              </w:rPr>
              <w:t>/</w:t>
            </w:r>
            <w:r w:rsidRPr="00990459">
              <w:rPr>
                <w:rFonts w:ascii="Times New Roman" w:eastAsia="仿宋_GB2312" w:hAnsi="Times New Roman" w:cs="Times New Roman" w:hint="eastAsia"/>
                <w:color w:val="000000"/>
                <w:sz w:val="28"/>
                <w:szCs w:val="28"/>
              </w:rPr>
              <w:t>测试集独立性。</w:t>
            </w:r>
          </w:p>
        </w:tc>
      </w:tr>
      <w:tr w:rsidR="00346938" w:rsidRPr="004E6461" w14:paraId="070547DA" w14:textId="77777777" w:rsidTr="00346938">
        <w:tc>
          <w:tcPr>
            <w:tcW w:w="2427" w:type="dxa"/>
          </w:tcPr>
          <w:p w14:paraId="2D498A54" w14:textId="6D5D6681" w:rsidR="00346938" w:rsidRPr="00990459" w:rsidRDefault="00346938" w:rsidP="00346938">
            <w:pPr>
              <w:adjustRightInd w:val="0"/>
              <w:snapToGrid w:val="0"/>
              <w:rPr>
                <w:rFonts w:ascii="Times New Roman" w:eastAsia="仿宋_GB2312" w:hAnsi="Times New Roman" w:cs="Times New Roman"/>
                <w:color w:val="000000"/>
                <w:sz w:val="28"/>
                <w:szCs w:val="28"/>
              </w:rPr>
            </w:pPr>
            <w:r w:rsidRPr="00990459">
              <w:rPr>
                <w:rFonts w:ascii="Times New Roman" w:eastAsia="仿宋_GB2312" w:hAnsi="Times New Roman" w:cs="Times New Roman" w:hint="eastAsia"/>
                <w:color w:val="000000"/>
                <w:sz w:val="28"/>
                <w:szCs w:val="28"/>
              </w:rPr>
              <w:t>临床评价方案</w:t>
            </w:r>
          </w:p>
        </w:tc>
        <w:tc>
          <w:tcPr>
            <w:tcW w:w="6933" w:type="dxa"/>
          </w:tcPr>
          <w:p w14:paraId="794C8132" w14:textId="2D26C1D6" w:rsidR="00346938" w:rsidRPr="00990459" w:rsidRDefault="00346938" w:rsidP="00346938">
            <w:pPr>
              <w:adjustRightInd w:val="0"/>
              <w:snapToGrid w:val="0"/>
              <w:rPr>
                <w:rFonts w:ascii="Times New Roman" w:eastAsia="仿宋_GB2312" w:hAnsi="Times New Roman" w:cs="Times New Roman"/>
                <w:color w:val="000000"/>
                <w:sz w:val="28"/>
                <w:szCs w:val="28"/>
              </w:rPr>
            </w:pPr>
            <w:r w:rsidRPr="00990459">
              <w:rPr>
                <w:rFonts w:ascii="Times New Roman" w:eastAsia="仿宋_GB2312" w:hAnsi="Times New Roman" w:cs="Times New Roman" w:hint="eastAsia"/>
                <w:color w:val="000000"/>
                <w:sz w:val="28"/>
                <w:szCs w:val="28"/>
              </w:rPr>
              <w:t>临床问题、研究设计、对照、入排标准、机构、样本量、终点、统计计划、偏倚控制和质量管理。</w:t>
            </w:r>
          </w:p>
        </w:tc>
      </w:tr>
      <w:tr w:rsidR="00346938" w:rsidRPr="004E6461" w14:paraId="69657673" w14:textId="77777777" w:rsidTr="00346938">
        <w:tc>
          <w:tcPr>
            <w:tcW w:w="2427" w:type="dxa"/>
          </w:tcPr>
          <w:p w14:paraId="70A2289F" w14:textId="34552CE6" w:rsidR="00346938" w:rsidRPr="00990459" w:rsidRDefault="00346938" w:rsidP="00346938">
            <w:pPr>
              <w:adjustRightInd w:val="0"/>
              <w:snapToGrid w:val="0"/>
              <w:rPr>
                <w:rFonts w:ascii="Times New Roman" w:eastAsia="仿宋_GB2312" w:hAnsi="Times New Roman" w:cs="Times New Roman"/>
                <w:color w:val="000000"/>
                <w:sz w:val="28"/>
                <w:szCs w:val="28"/>
              </w:rPr>
            </w:pPr>
            <w:r w:rsidRPr="00990459">
              <w:rPr>
                <w:rFonts w:ascii="Times New Roman" w:eastAsia="仿宋_GB2312" w:hAnsi="Times New Roman" w:cs="Times New Roman" w:hint="eastAsia"/>
                <w:color w:val="000000"/>
                <w:sz w:val="28"/>
                <w:szCs w:val="28"/>
              </w:rPr>
              <w:t>多模态专项证据</w:t>
            </w:r>
          </w:p>
        </w:tc>
        <w:tc>
          <w:tcPr>
            <w:tcW w:w="6933" w:type="dxa"/>
          </w:tcPr>
          <w:p w14:paraId="17FD3EF8" w14:textId="4949FFEE" w:rsidR="00346938" w:rsidRPr="00990459" w:rsidRDefault="00346938" w:rsidP="00346938">
            <w:pPr>
              <w:adjustRightInd w:val="0"/>
              <w:snapToGrid w:val="0"/>
              <w:rPr>
                <w:rFonts w:ascii="Times New Roman" w:eastAsia="仿宋_GB2312" w:hAnsi="Times New Roman" w:cs="Times New Roman"/>
                <w:color w:val="000000"/>
                <w:sz w:val="28"/>
                <w:szCs w:val="28"/>
              </w:rPr>
            </w:pPr>
            <w:r w:rsidRPr="00990459">
              <w:rPr>
                <w:rFonts w:ascii="Times New Roman" w:eastAsia="仿宋_GB2312" w:hAnsi="Times New Roman" w:cs="Times New Roman" w:hint="eastAsia"/>
                <w:color w:val="000000"/>
                <w:sz w:val="28"/>
                <w:szCs w:val="28"/>
              </w:rPr>
              <w:t>单模态与融合表现、模态缺失、模态冲突、低质量与异常输入、跨设备</w:t>
            </w:r>
            <w:r w:rsidRPr="00990459">
              <w:rPr>
                <w:rFonts w:ascii="Times New Roman" w:eastAsia="仿宋_GB2312" w:hAnsi="Times New Roman" w:cs="Times New Roman" w:hint="eastAsia"/>
                <w:color w:val="000000"/>
                <w:sz w:val="28"/>
                <w:szCs w:val="28"/>
              </w:rPr>
              <w:t>/</w:t>
            </w:r>
            <w:r w:rsidRPr="00990459">
              <w:rPr>
                <w:rFonts w:ascii="Times New Roman" w:eastAsia="仿宋_GB2312" w:hAnsi="Times New Roman" w:cs="Times New Roman" w:hint="eastAsia"/>
                <w:color w:val="000000"/>
                <w:sz w:val="28"/>
                <w:szCs w:val="28"/>
              </w:rPr>
              <w:t>系统</w:t>
            </w:r>
            <w:r w:rsidRPr="00990459">
              <w:rPr>
                <w:rFonts w:ascii="Times New Roman" w:eastAsia="仿宋_GB2312" w:hAnsi="Times New Roman" w:cs="Times New Roman" w:hint="eastAsia"/>
                <w:color w:val="000000"/>
                <w:sz w:val="28"/>
                <w:szCs w:val="28"/>
              </w:rPr>
              <w:t>/</w:t>
            </w:r>
            <w:r w:rsidRPr="00990459">
              <w:rPr>
                <w:rFonts w:ascii="Times New Roman" w:eastAsia="仿宋_GB2312" w:hAnsi="Times New Roman" w:cs="Times New Roman" w:hint="eastAsia"/>
                <w:color w:val="000000"/>
                <w:sz w:val="28"/>
                <w:szCs w:val="28"/>
              </w:rPr>
              <w:t>中心</w:t>
            </w:r>
            <w:r w:rsidRPr="00990459">
              <w:rPr>
                <w:rFonts w:ascii="Times New Roman" w:eastAsia="仿宋_GB2312" w:hAnsi="Times New Roman" w:cs="Times New Roman" w:hint="eastAsia"/>
                <w:color w:val="000000"/>
                <w:sz w:val="28"/>
                <w:szCs w:val="28"/>
              </w:rPr>
              <w:t>/</w:t>
            </w:r>
            <w:r w:rsidRPr="00990459">
              <w:rPr>
                <w:rFonts w:ascii="Times New Roman" w:eastAsia="仿宋_GB2312" w:hAnsi="Times New Roman" w:cs="Times New Roman" w:hint="eastAsia"/>
                <w:color w:val="000000"/>
                <w:sz w:val="28"/>
                <w:szCs w:val="28"/>
              </w:rPr>
              <w:t>时间验证。</w:t>
            </w:r>
          </w:p>
        </w:tc>
      </w:tr>
      <w:tr w:rsidR="00346938" w:rsidRPr="004E6461" w14:paraId="436730A0" w14:textId="77777777" w:rsidTr="00346938">
        <w:tc>
          <w:tcPr>
            <w:tcW w:w="2427" w:type="dxa"/>
          </w:tcPr>
          <w:p w14:paraId="747E091E" w14:textId="1C9E274B" w:rsidR="00346938" w:rsidRPr="00990459" w:rsidRDefault="00346938" w:rsidP="00346938">
            <w:pPr>
              <w:adjustRightInd w:val="0"/>
              <w:snapToGrid w:val="0"/>
              <w:rPr>
                <w:rFonts w:ascii="Times New Roman" w:eastAsia="仿宋_GB2312" w:hAnsi="Times New Roman" w:cs="Times New Roman"/>
                <w:color w:val="000000"/>
                <w:sz w:val="28"/>
                <w:szCs w:val="28"/>
              </w:rPr>
            </w:pPr>
            <w:r w:rsidRPr="00990459">
              <w:rPr>
                <w:rFonts w:ascii="Times New Roman" w:eastAsia="仿宋_GB2312" w:hAnsi="Times New Roman" w:cs="Times New Roman" w:hint="eastAsia"/>
                <w:color w:val="000000"/>
                <w:sz w:val="28"/>
                <w:szCs w:val="28"/>
              </w:rPr>
              <w:t>多病种专项证据</w:t>
            </w:r>
          </w:p>
        </w:tc>
        <w:tc>
          <w:tcPr>
            <w:tcW w:w="6933" w:type="dxa"/>
          </w:tcPr>
          <w:p w14:paraId="2230C0F5" w14:textId="57779717" w:rsidR="00346938" w:rsidRPr="00990459" w:rsidRDefault="00346938" w:rsidP="00346938">
            <w:pPr>
              <w:adjustRightInd w:val="0"/>
              <w:snapToGrid w:val="0"/>
              <w:rPr>
                <w:rFonts w:ascii="Times New Roman" w:eastAsia="仿宋_GB2312" w:hAnsi="Times New Roman" w:cs="Times New Roman"/>
                <w:color w:val="000000"/>
                <w:sz w:val="28"/>
                <w:szCs w:val="28"/>
              </w:rPr>
            </w:pPr>
            <w:r w:rsidRPr="00990459">
              <w:rPr>
                <w:rFonts w:ascii="Times New Roman" w:eastAsia="仿宋_GB2312" w:hAnsi="Times New Roman" w:cs="Times New Roman" w:hint="eastAsia"/>
                <w:color w:val="000000"/>
                <w:sz w:val="28"/>
                <w:szCs w:val="28"/>
              </w:rPr>
              <w:t>病种级和任务级结果、关键分型和严重程度、长尾病种、核心亚组及公平性分析。</w:t>
            </w:r>
          </w:p>
        </w:tc>
      </w:tr>
      <w:tr w:rsidR="00346938" w:rsidRPr="004E6461" w14:paraId="1633D8A2" w14:textId="77777777" w:rsidTr="00346938">
        <w:tc>
          <w:tcPr>
            <w:tcW w:w="2427" w:type="dxa"/>
          </w:tcPr>
          <w:p w14:paraId="68C137C0" w14:textId="7C3274A0" w:rsidR="00346938" w:rsidRPr="00990459" w:rsidRDefault="00346938" w:rsidP="00346938">
            <w:pPr>
              <w:adjustRightInd w:val="0"/>
              <w:snapToGrid w:val="0"/>
              <w:rPr>
                <w:rFonts w:ascii="Times New Roman" w:eastAsia="仿宋_GB2312" w:hAnsi="Times New Roman" w:cs="Times New Roman"/>
                <w:color w:val="000000"/>
                <w:sz w:val="28"/>
                <w:szCs w:val="28"/>
              </w:rPr>
            </w:pPr>
            <w:r w:rsidRPr="00990459">
              <w:rPr>
                <w:rFonts w:ascii="Times New Roman" w:eastAsia="仿宋_GB2312" w:hAnsi="Times New Roman" w:cs="Times New Roman" w:hint="eastAsia"/>
                <w:color w:val="000000"/>
                <w:sz w:val="28"/>
                <w:szCs w:val="28"/>
              </w:rPr>
              <w:t>工作流与本地适配</w:t>
            </w:r>
          </w:p>
        </w:tc>
        <w:tc>
          <w:tcPr>
            <w:tcW w:w="6933" w:type="dxa"/>
          </w:tcPr>
          <w:p w14:paraId="5784A17B" w14:textId="42EE1962" w:rsidR="00346938" w:rsidRPr="00990459" w:rsidRDefault="00346938" w:rsidP="00346938">
            <w:pPr>
              <w:adjustRightInd w:val="0"/>
              <w:snapToGrid w:val="0"/>
              <w:rPr>
                <w:rFonts w:ascii="Times New Roman" w:eastAsia="仿宋_GB2312" w:hAnsi="Times New Roman" w:cs="Times New Roman"/>
                <w:color w:val="000000"/>
                <w:sz w:val="28"/>
                <w:szCs w:val="28"/>
              </w:rPr>
            </w:pPr>
            <w:r w:rsidRPr="00990459">
              <w:rPr>
                <w:rFonts w:ascii="Times New Roman" w:eastAsia="仿宋_GB2312" w:hAnsi="Times New Roman" w:cs="Times New Roman" w:hint="eastAsia"/>
                <w:color w:val="000000"/>
                <w:sz w:val="28"/>
                <w:szCs w:val="28"/>
              </w:rPr>
              <w:t>人工复核、人因研究、效率和风险、故障切换、本地验证条件、培训和权限管理。</w:t>
            </w:r>
          </w:p>
        </w:tc>
      </w:tr>
      <w:tr w:rsidR="00346938" w:rsidRPr="004E6461" w14:paraId="15F6AAED" w14:textId="77777777" w:rsidTr="00990459">
        <w:trPr>
          <w:trHeight w:val="381"/>
        </w:trPr>
        <w:tc>
          <w:tcPr>
            <w:tcW w:w="2427" w:type="dxa"/>
          </w:tcPr>
          <w:p w14:paraId="5E0A765F" w14:textId="0933EBB2" w:rsidR="00346938" w:rsidRPr="00990459" w:rsidRDefault="00346938" w:rsidP="00346938">
            <w:pPr>
              <w:adjustRightInd w:val="0"/>
              <w:snapToGrid w:val="0"/>
              <w:rPr>
                <w:rFonts w:ascii="Times New Roman" w:eastAsia="仿宋_GB2312" w:hAnsi="Times New Roman" w:cs="Times New Roman"/>
                <w:color w:val="000000"/>
                <w:sz w:val="28"/>
                <w:szCs w:val="28"/>
              </w:rPr>
            </w:pPr>
            <w:r w:rsidRPr="00990459">
              <w:rPr>
                <w:rFonts w:ascii="Times New Roman" w:eastAsia="仿宋_GB2312" w:hAnsi="Times New Roman" w:cs="Times New Roman" w:hint="eastAsia"/>
                <w:color w:val="000000"/>
                <w:sz w:val="28"/>
                <w:szCs w:val="28"/>
              </w:rPr>
              <w:t>说明书和上市后资料</w:t>
            </w:r>
          </w:p>
        </w:tc>
        <w:tc>
          <w:tcPr>
            <w:tcW w:w="6933" w:type="dxa"/>
          </w:tcPr>
          <w:p w14:paraId="526C0B34" w14:textId="36F91630" w:rsidR="00346938" w:rsidRPr="00990459" w:rsidRDefault="00346938" w:rsidP="00346938">
            <w:pPr>
              <w:adjustRightInd w:val="0"/>
              <w:snapToGrid w:val="0"/>
              <w:rPr>
                <w:rFonts w:ascii="Times New Roman" w:eastAsia="仿宋_GB2312" w:hAnsi="Times New Roman" w:cs="Times New Roman"/>
                <w:color w:val="000000"/>
                <w:sz w:val="28"/>
                <w:szCs w:val="28"/>
              </w:rPr>
            </w:pPr>
            <w:r w:rsidRPr="00990459">
              <w:rPr>
                <w:rFonts w:ascii="Times New Roman" w:eastAsia="仿宋_GB2312" w:hAnsi="Times New Roman" w:cs="Times New Roman" w:hint="eastAsia"/>
                <w:color w:val="000000"/>
                <w:sz w:val="28"/>
                <w:szCs w:val="28"/>
              </w:rPr>
              <w:t>适应证和使用限制、兼容条件、异常处置、上市后性能跟踪指标及风险处置安排。</w:t>
            </w:r>
          </w:p>
        </w:tc>
      </w:tr>
    </w:tbl>
    <w:p w14:paraId="0ADB6CBF" w14:textId="77777777" w:rsidR="00320499" w:rsidRPr="00320499" w:rsidRDefault="00320499" w:rsidP="00320499">
      <w:pPr>
        <w:adjustRightInd w:val="0"/>
        <w:snapToGrid w:val="0"/>
        <w:spacing w:line="520" w:lineRule="exact"/>
        <w:rPr>
          <w:rFonts w:ascii="Times New Roman" w:eastAsia="仿宋_GB2312" w:hAnsi="Times New Roman" w:cs="Times New Roman"/>
          <w:color w:val="000000"/>
          <w:sz w:val="32"/>
          <w:szCs w:val="32"/>
        </w:rPr>
      </w:pPr>
    </w:p>
    <w:p w14:paraId="372F25A0" w14:textId="77777777" w:rsid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p>
    <w:p w14:paraId="2CFD009C" w14:textId="77777777" w:rsid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p>
    <w:sectPr w:rsidR="00320499" w:rsidSect="00A23DE6">
      <w:footerReference w:type="even" r:id="rId6"/>
      <w:footerReference w:type="default" r:id="rId7"/>
      <w:pgSz w:w="11906" w:h="16838"/>
      <w:pgMar w:top="1440" w:right="1588" w:bottom="1440" w:left="1588" w:header="851" w:footer="992" w:gutter="0"/>
      <w:pgNumType w:start="32"/>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0D783" w14:textId="77777777" w:rsidR="00EB19FA" w:rsidRDefault="00EB19FA" w:rsidP="00A23DE6">
      <w:pPr>
        <w:rPr>
          <w:rFonts w:hint="eastAsia"/>
        </w:rPr>
      </w:pPr>
      <w:r>
        <w:separator/>
      </w:r>
    </w:p>
  </w:endnote>
  <w:endnote w:type="continuationSeparator" w:id="0">
    <w:p w14:paraId="36030CED" w14:textId="77777777" w:rsidR="00EB19FA" w:rsidRDefault="00EB19FA" w:rsidP="00A23D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宋体"/>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467618"/>
      <w:docPartObj>
        <w:docPartGallery w:val="Page Numbers (Bottom of Page)"/>
        <w:docPartUnique/>
      </w:docPartObj>
    </w:sdtPr>
    <w:sdtEndPr>
      <w:rPr>
        <w:rFonts w:ascii="Times New Roman" w:hAnsi="Times New Roman" w:cs="Times New Roman"/>
        <w:sz w:val="28"/>
        <w:szCs w:val="28"/>
      </w:rPr>
    </w:sdtEndPr>
    <w:sdtContent>
      <w:p w14:paraId="0028E0A4" w14:textId="77777777" w:rsidR="00A23DE6" w:rsidRPr="00561663" w:rsidRDefault="00A23DE6" w:rsidP="00561663">
        <w:pPr>
          <w:pStyle w:val="af0"/>
          <w:rPr>
            <w:rFonts w:hint="eastAsia"/>
          </w:rPr>
        </w:pPr>
        <w:r w:rsidRPr="00561663">
          <w:rPr>
            <w:rFonts w:ascii="Times New Roman" w:hAnsi="Times New Roman" w:cs="Times New Roman"/>
            <w:sz w:val="28"/>
            <w:szCs w:val="28"/>
          </w:rPr>
          <w:t xml:space="preserve">— </w:t>
        </w:r>
        <w:r w:rsidRPr="00561663">
          <w:rPr>
            <w:rFonts w:ascii="Times New Roman" w:hAnsi="Times New Roman" w:cs="Times New Roman"/>
            <w:sz w:val="28"/>
            <w:szCs w:val="28"/>
          </w:rPr>
          <w:fldChar w:fldCharType="begin"/>
        </w:r>
        <w:r w:rsidRPr="00561663">
          <w:rPr>
            <w:rFonts w:ascii="Times New Roman" w:hAnsi="Times New Roman" w:cs="Times New Roman"/>
            <w:sz w:val="28"/>
            <w:szCs w:val="28"/>
          </w:rPr>
          <w:instrText>PAGE   \* MERGEFORMAT</w:instrText>
        </w:r>
        <w:r w:rsidRPr="00561663">
          <w:rPr>
            <w:rFonts w:ascii="Times New Roman" w:hAnsi="Times New Roman" w:cs="Times New Roman"/>
            <w:sz w:val="28"/>
            <w:szCs w:val="28"/>
          </w:rPr>
          <w:fldChar w:fldCharType="separate"/>
        </w:r>
        <w:r w:rsidRPr="00561663">
          <w:rPr>
            <w:rFonts w:ascii="Times New Roman" w:hAnsi="Times New Roman" w:cs="Times New Roman"/>
            <w:noProof/>
            <w:sz w:val="28"/>
            <w:szCs w:val="28"/>
            <w:lang w:val="zh-CN"/>
          </w:rPr>
          <w:t>38</w:t>
        </w:r>
        <w:r w:rsidRPr="00561663">
          <w:rPr>
            <w:rFonts w:ascii="Times New Roman" w:hAnsi="Times New Roman" w:cs="Times New Roman"/>
            <w:sz w:val="28"/>
            <w:szCs w:val="28"/>
          </w:rPr>
          <w:fldChar w:fldCharType="end"/>
        </w:r>
        <w:r w:rsidRPr="00561663">
          <w:rPr>
            <w:rFonts w:ascii="Times New Roman" w:hAnsi="Times New Roman" w:cs="Times New Roman"/>
            <w:sz w:val="28"/>
            <w:szCs w:val="28"/>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A1011" w14:textId="77777777" w:rsidR="00A23DE6" w:rsidRDefault="00000000" w:rsidP="00561663">
    <w:pPr>
      <w:pStyle w:val="af0"/>
      <w:jc w:val="right"/>
      <w:rPr>
        <w:rFonts w:hint="eastAsia"/>
      </w:rPr>
    </w:pPr>
    <w:sdt>
      <w:sdtPr>
        <w:id w:val="-677655526"/>
        <w:docPartObj>
          <w:docPartGallery w:val="Page Numbers (Bottom of Page)"/>
          <w:docPartUnique/>
        </w:docPartObj>
      </w:sdtPr>
      <w:sdtEndPr>
        <w:rPr>
          <w:rFonts w:ascii="Times New Roman" w:hAnsi="Times New Roman" w:cs="Times New Roman"/>
          <w:sz w:val="28"/>
          <w:szCs w:val="28"/>
        </w:rPr>
      </w:sdtEndPr>
      <w:sdtContent>
        <w:r w:rsidR="00A23DE6" w:rsidRPr="00561663">
          <w:rPr>
            <w:rFonts w:ascii="Times New Roman" w:hAnsi="Times New Roman" w:cs="Times New Roman"/>
            <w:sz w:val="28"/>
            <w:szCs w:val="28"/>
          </w:rPr>
          <w:t xml:space="preserve">— </w:t>
        </w:r>
        <w:r w:rsidR="00A23DE6" w:rsidRPr="00561663">
          <w:rPr>
            <w:rFonts w:ascii="Times New Roman" w:hAnsi="Times New Roman" w:cs="Times New Roman"/>
            <w:sz w:val="28"/>
            <w:szCs w:val="28"/>
          </w:rPr>
          <w:fldChar w:fldCharType="begin"/>
        </w:r>
        <w:r w:rsidR="00A23DE6" w:rsidRPr="00561663">
          <w:rPr>
            <w:rFonts w:ascii="Times New Roman" w:hAnsi="Times New Roman" w:cs="Times New Roman"/>
            <w:sz w:val="28"/>
            <w:szCs w:val="28"/>
          </w:rPr>
          <w:instrText>PAGE   \* MERGEFORMAT</w:instrText>
        </w:r>
        <w:r w:rsidR="00A23DE6" w:rsidRPr="00561663">
          <w:rPr>
            <w:rFonts w:ascii="Times New Roman" w:hAnsi="Times New Roman" w:cs="Times New Roman"/>
            <w:sz w:val="28"/>
            <w:szCs w:val="28"/>
          </w:rPr>
          <w:fldChar w:fldCharType="separate"/>
        </w:r>
        <w:r w:rsidR="00A23DE6" w:rsidRPr="00561663">
          <w:rPr>
            <w:rFonts w:ascii="Times New Roman" w:hAnsi="Times New Roman" w:cs="Times New Roman"/>
            <w:noProof/>
            <w:sz w:val="28"/>
            <w:szCs w:val="28"/>
            <w:lang w:val="zh-CN"/>
          </w:rPr>
          <w:t>39</w:t>
        </w:r>
        <w:r w:rsidR="00A23DE6" w:rsidRPr="00561663">
          <w:rPr>
            <w:rFonts w:ascii="Times New Roman" w:hAnsi="Times New Roman" w:cs="Times New Roman"/>
            <w:sz w:val="28"/>
            <w:szCs w:val="28"/>
          </w:rPr>
          <w:fldChar w:fldCharType="end"/>
        </w:r>
      </w:sdtContent>
    </w:sdt>
    <w:r w:rsidR="00A23DE6" w:rsidRPr="00561663">
      <w:rPr>
        <w:rFonts w:ascii="Times New Roman" w:hAnsi="Times New Roman" w:cs="Times New Roman"/>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18723" w14:textId="77777777" w:rsidR="00EB19FA" w:rsidRDefault="00EB19FA" w:rsidP="00A23DE6">
      <w:pPr>
        <w:rPr>
          <w:rFonts w:hint="eastAsia"/>
        </w:rPr>
      </w:pPr>
      <w:r>
        <w:separator/>
      </w:r>
    </w:p>
  </w:footnote>
  <w:footnote w:type="continuationSeparator" w:id="0">
    <w:p w14:paraId="5E3EAB03" w14:textId="77777777" w:rsidR="00EB19FA" w:rsidRDefault="00EB19FA" w:rsidP="00A23DE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97B"/>
    <w:rsid w:val="000D4227"/>
    <w:rsid w:val="001E3738"/>
    <w:rsid w:val="00320499"/>
    <w:rsid w:val="00346938"/>
    <w:rsid w:val="004E6461"/>
    <w:rsid w:val="00514399"/>
    <w:rsid w:val="006C7DE7"/>
    <w:rsid w:val="0070097B"/>
    <w:rsid w:val="007B2938"/>
    <w:rsid w:val="00801DAA"/>
    <w:rsid w:val="00855E28"/>
    <w:rsid w:val="00990459"/>
    <w:rsid w:val="00A23DE6"/>
    <w:rsid w:val="00BE1EEA"/>
    <w:rsid w:val="00CF5C82"/>
    <w:rsid w:val="00D54190"/>
    <w:rsid w:val="00E43D0F"/>
    <w:rsid w:val="00EB19FA"/>
    <w:rsid w:val="00F77AC8"/>
    <w:rsid w:val="00F81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BC8137"/>
  <w15:chartTrackingRefBased/>
  <w15:docId w15:val="{6787C221-DFF7-4BF6-BD0B-4FFD37334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399"/>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70097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0097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0097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0097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0097B"/>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70097B"/>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0097B"/>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0097B"/>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0097B"/>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0097B"/>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0097B"/>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0097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0097B"/>
    <w:rPr>
      <w:rFonts w:cstheme="majorBidi"/>
      <w:color w:val="2F5496" w:themeColor="accent1" w:themeShade="BF"/>
      <w:sz w:val="28"/>
      <w:szCs w:val="28"/>
    </w:rPr>
  </w:style>
  <w:style w:type="character" w:customStyle="1" w:styleId="50">
    <w:name w:val="标题 5 字符"/>
    <w:basedOn w:val="a0"/>
    <w:link w:val="5"/>
    <w:uiPriority w:val="9"/>
    <w:semiHidden/>
    <w:rsid w:val="0070097B"/>
    <w:rPr>
      <w:rFonts w:cstheme="majorBidi"/>
      <w:color w:val="2F5496" w:themeColor="accent1" w:themeShade="BF"/>
      <w:sz w:val="24"/>
    </w:rPr>
  </w:style>
  <w:style w:type="character" w:customStyle="1" w:styleId="60">
    <w:name w:val="标题 6 字符"/>
    <w:basedOn w:val="a0"/>
    <w:link w:val="6"/>
    <w:uiPriority w:val="9"/>
    <w:semiHidden/>
    <w:rsid w:val="0070097B"/>
    <w:rPr>
      <w:rFonts w:cstheme="majorBidi"/>
      <w:b/>
      <w:bCs/>
      <w:color w:val="2F5496" w:themeColor="accent1" w:themeShade="BF"/>
    </w:rPr>
  </w:style>
  <w:style w:type="character" w:customStyle="1" w:styleId="70">
    <w:name w:val="标题 7 字符"/>
    <w:basedOn w:val="a0"/>
    <w:link w:val="7"/>
    <w:uiPriority w:val="9"/>
    <w:semiHidden/>
    <w:rsid w:val="0070097B"/>
    <w:rPr>
      <w:rFonts w:cstheme="majorBidi"/>
      <w:b/>
      <w:bCs/>
      <w:color w:val="595959" w:themeColor="text1" w:themeTint="A6"/>
    </w:rPr>
  </w:style>
  <w:style w:type="character" w:customStyle="1" w:styleId="80">
    <w:name w:val="标题 8 字符"/>
    <w:basedOn w:val="a0"/>
    <w:link w:val="8"/>
    <w:uiPriority w:val="9"/>
    <w:semiHidden/>
    <w:rsid w:val="0070097B"/>
    <w:rPr>
      <w:rFonts w:cstheme="majorBidi"/>
      <w:color w:val="595959" w:themeColor="text1" w:themeTint="A6"/>
    </w:rPr>
  </w:style>
  <w:style w:type="character" w:customStyle="1" w:styleId="90">
    <w:name w:val="标题 9 字符"/>
    <w:basedOn w:val="a0"/>
    <w:link w:val="9"/>
    <w:uiPriority w:val="9"/>
    <w:semiHidden/>
    <w:rsid w:val="0070097B"/>
    <w:rPr>
      <w:rFonts w:eastAsiaTheme="majorEastAsia" w:cstheme="majorBidi"/>
      <w:color w:val="595959" w:themeColor="text1" w:themeTint="A6"/>
    </w:rPr>
  </w:style>
  <w:style w:type="paragraph" w:styleId="a3">
    <w:name w:val="Title"/>
    <w:basedOn w:val="a"/>
    <w:next w:val="a"/>
    <w:link w:val="a4"/>
    <w:uiPriority w:val="10"/>
    <w:qFormat/>
    <w:rsid w:val="0070097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0097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0097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0097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0097B"/>
    <w:pPr>
      <w:spacing w:before="160"/>
      <w:jc w:val="center"/>
    </w:pPr>
    <w:rPr>
      <w:i/>
      <w:iCs/>
      <w:color w:val="404040" w:themeColor="text1" w:themeTint="BF"/>
    </w:rPr>
  </w:style>
  <w:style w:type="character" w:customStyle="1" w:styleId="a8">
    <w:name w:val="引用 字符"/>
    <w:basedOn w:val="a0"/>
    <w:link w:val="a7"/>
    <w:uiPriority w:val="29"/>
    <w:rsid w:val="0070097B"/>
    <w:rPr>
      <w:i/>
      <w:iCs/>
      <w:color w:val="404040" w:themeColor="text1" w:themeTint="BF"/>
    </w:rPr>
  </w:style>
  <w:style w:type="paragraph" w:styleId="a9">
    <w:name w:val="List Paragraph"/>
    <w:basedOn w:val="a"/>
    <w:uiPriority w:val="34"/>
    <w:qFormat/>
    <w:rsid w:val="0070097B"/>
    <w:pPr>
      <w:ind w:left="720"/>
      <w:contextualSpacing/>
    </w:pPr>
  </w:style>
  <w:style w:type="character" w:styleId="aa">
    <w:name w:val="Intense Emphasis"/>
    <w:basedOn w:val="a0"/>
    <w:uiPriority w:val="21"/>
    <w:qFormat/>
    <w:rsid w:val="0070097B"/>
    <w:rPr>
      <w:i/>
      <w:iCs/>
      <w:color w:val="2F5496" w:themeColor="accent1" w:themeShade="BF"/>
    </w:rPr>
  </w:style>
  <w:style w:type="paragraph" w:styleId="ab">
    <w:name w:val="Intense Quote"/>
    <w:basedOn w:val="a"/>
    <w:next w:val="a"/>
    <w:link w:val="ac"/>
    <w:uiPriority w:val="30"/>
    <w:qFormat/>
    <w:rsid w:val="007009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0097B"/>
    <w:rPr>
      <w:i/>
      <w:iCs/>
      <w:color w:val="2F5496" w:themeColor="accent1" w:themeShade="BF"/>
    </w:rPr>
  </w:style>
  <w:style w:type="character" w:styleId="ad">
    <w:name w:val="Intense Reference"/>
    <w:basedOn w:val="a0"/>
    <w:uiPriority w:val="32"/>
    <w:qFormat/>
    <w:rsid w:val="0070097B"/>
    <w:rPr>
      <w:b/>
      <w:bCs/>
      <w:smallCaps/>
      <w:color w:val="2F5496" w:themeColor="accent1" w:themeShade="BF"/>
      <w:spacing w:val="5"/>
    </w:rPr>
  </w:style>
  <w:style w:type="paragraph" w:styleId="ae">
    <w:name w:val="header"/>
    <w:basedOn w:val="a"/>
    <w:link w:val="af"/>
    <w:uiPriority w:val="99"/>
    <w:unhideWhenUsed/>
    <w:rsid w:val="00A23DE6"/>
    <w:pPr>
      <w:tabs>
        <w:tab w:val="center" w:pos="4153"/>
        <w:tab w:val="right" w:pos="8306"/>
      </w:tabs>
      <w:snapToGrid w:val="0"/>
      <w:jc w:val="center"/>
    </w:pPr>
    <w:rPr>
      <w:sz w:val="18"/>
      <w:szCs w:val="18"/>
    </w:rPr>
  </w:style>
  <w:style w:type="character" w:customStyle="1" w:styleId="af">
    <w:name w:val="页眉 字符"/>
    <w:basedOn w:val="a0"/>
    <w:link w:val="ae"/>
    <w:uiPriority w:val="99"/>
    <w:rsid w:val="00A23DE6"/>
    <w:rPr>
      <w:sz w:val="18"/>
      <w:szCs w:val="18"/>
    </w:rPr>
  </w:style>
  <w:style w:type="paragraph" w:styleId="af0">
    <w:name w:val="footer"/>
    <w:basedOn w:val="a"/>
    <w:link w:val="af1"/>
    <w:uiPriority w:val="99"/>
    <w:unhideWhenUsed/>
    <w:qFormat/>
    <w:rsid w:val="00A23DE6"/>
    <w:pPr>
      <w:tabs>
        <w:tab w:val="center" w:pos="4153"/>
        <w:tab w:val="right" w:pos="8306"/>
      </w:tabs>
      <w:snapToGrid w:val="0"/>
    </w:pPr>
    <w:rPr>
      <w:sz w:val="18"/>
      <w:szCs w:val="18"/>
    </w:rPr>
  </w:style>
  <w:style w:type="character" w:customStyle="1" w:styleId="af1">
    <w:name w:val="页脚 字符"/>
    <w:basedOn w:val="a0"/>
    <w:link w:val="af0"/>
    <w:uiPriority w:val="99"/>
    <w:qFormat/>
    <w:rsid w:val="00A23DE6"/>
    <w:rPr>
      <w:sz w:val="18"/>
      <w:szCs w:val="18"/>
    </w:rPr>
  </w:style>
  <w:style w:type="paragraph" w:styleId="af2">
    <w:name w:val="Normal (Web)"/>
    <w:basedOn w:val="a"/>
    <w:uiPriority w:val="99"/>
    <w:unhideWhenUsed/>
    <w:qFormat/>
    <w:rsid w:val="00A23DE6"/>
    <w:pPr>
      <w:widowControl/>
      <w:spacing w:before="75" w:after="75"/>
      <w:jc w:val="left"/>
    </w:pPr>
    <w:rPr>
      <w:rFonts w:ascii="宋体" w:eastAsia="宋体" w:hAnsi="宋体" w:cs="宋体"/>
      <w:kern w:val="0"/>
      <w:sz w:val="24"/>
      <w:szCs w:val="24"/>
    </w:rPr>
  </w:style>
  <w:style w:type="table" w:styleId="af3">
    <w:name w:val="Table Grid"/>
    <w:basedOn w:val="a1"/>
    <w:uiPriority w:val="39"/>
    <w:rsid w:val="003204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3161</Words>
  <Characters>3162</Characters>
  <Application>Microsoft Office Word</Application>
  <DocSecurity>0</DocSecurity>
  <Lines>158</Lines>
  <Paragraphs>112</Paragraphs>
  <ScaleCrop>false</ScaleCrop>
  <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 任</dc:creator>
  <cp:keywords/>
  <dc:description/>
  <cp:lastModifiedBy>微 任</cp:lastModifiedBy>
  <cp:revision>8</cp:revision>
  <dcterms:created xsi:type="dcterms:W3CDTF">2026-08-25T06:52:00Z</dcterms:created>
  <dcterms:modified xsi:type="dcterms:W3CDTF">2026-08-27T09:57:00Z</dcterms:modified>
</cp:coreProperties>
</file>